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Logistics Data Preprocessing Report</w:t>
      </w:r>
    </w:p>
    <w:p>
      <w:pPr>
        <w:spacing w:after="400"/>
      </w:pPr>
      <w:r>
        <w:rPr>
          <w:i/>
          <w:iCs/>
          <w:color w:val="595959"/>
          <w:sz w:val="24"/>
          <w:szCs w:val="24"/>
        </w:rPr>
        <w:t xml:space="preserve">Data Collection, Cleaning, and Preprocessing for a Logistics Shipment Dataset</w:t>
      </w:r>
    </w:p>
    <w:p>
      <w:pPr>
        <w:pStyle w:val="Heading1"/>
        <w:spacing w:after="150" w:before="300"/>
      </w:pPr>
      <w:r>
        <w:t xml:space="preserve">1. Objective</w:t>
      </w:r>
    </w:p>
    <w:p>
      <w:pPr>
        <w:spacing w:after="150"/>
      </w:pPr>
      <w:r>
        <w:t xml:space="preserve">This report documents a simulated data preprocessing pipeline for a logistics dataset covering shipment tracking, transit times, and delivery costs. It demonstrates the data collection process, identification of common data quality issues, and the cleaning, imputation, outlier treatment, and normalization techniques applied to prepare the dataset for downstream analytics using Python and pandas.</w:t>
      </w:r>
    </w:p>
    <w:p>
      <w:pPr>
        <w:pStyle w:val="Heading1"/>
        <w:spacing w:after="150" w:before="300"/>
      </w:pPr>
      <w:r>
        <w:t xml:space="preserve">2. Data Collection Simulation</w:t>
      </w:r>
    </w:p>
    <w:p>
      <w:pPr>
        <w:spacing w:after="150"/>
      </w:pPr>
      <w:r>
        <w:t xml:space="preserve">The reference dataset simulates a publicly-available style logistics/freight dataset (comparable in structure to open shipment and transportation datasets found on sources such as Kaggle or government transport portals). It contains 200+ shipment records generated with realistic distributions for distance, weight, transit time, and cost, with deliberately injected data quality issues (missing values, outliers, duplicates, and inconsistent text formatting) to mimic real-world raw data.</w:t>
      </w:r>
    </w:p>
    <w:p>
      <w:pPr>
        <w:pStyle w:val="Heading2"/>
        <w:spacing w:after="100" w:before="200"/>
      </w:pPr>
      <w:r>
        <w:t xml:space="preserve">2.1 Dataset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c>
          <w:tcPr>
            <w:tcW w:type="dxa" w:w="2800"/>
            <w:shd w:fill="2F5496" w:val="clear"/>
          </w:tcPr>
          <w:p>
            <w:r>
              <w:rPr>
                <w:b/>
                <w:bCs/>
                <w:color w:val="FFFFFF"/>
                <w:sz w:val="20"/>
                <w:szCs w:val="20"/>
              </w:rPr>
              <w:t xml:space="preserve">Field</w:t>
            </w:r>
          </w:p>
        </w:tc>
        <w:tc>
          <w:tcPr>
            <w:tcW w:type="dxa" w:w="1600"/>
            <w:shd w:fill="2F5496" w:val="clear"/>
          </w:tcPr>
          <w:p>
            <w:r>
              <w:rPr>
                <w:b/>
                <w:bCs/>
                <w:color w:val="FFFFFF"/>
                <w:sz w:val="20"/>
                <w:szCs w:val="20"/>
              </w:rPr>
              <w:t xml:space="preserve">Type</w:t>
            </w:r>
          </w:p>
        </w:tc>
        <w:tc>
          <w:tcPr>
            <w:tcW w:type="dxa" w:w="4600"/>
            <w:shd w:fill="2F5496" w:val="clear"/>
          </w:tcPr>
          <w:p>
            <w:r>
              <w:rPr>
                <w:b/>
                <w:bCs/>
                <w:color w:val="FFFFFF"/>
                <w:sz w:val="20"/>
                <w:szCs w:val="20"/>
              </w:rPr>
              <w:t xml:space="preserve">Description</w:t>
            </w:r>
          </w:p>
        </w:tc>
      </w:tr>
      <w:tr>
        <w:tc>
          <w:tcPr>
            <w:tcW w:type="dxa" w:w="2800"/>
          </w:tcPr>
          <w:p>
            <w:r>
              <w:rPr>
                <w:b w:val="false"/>
                <w:bCs w:val="false"/>
                <w:color w:val="000000"/>
                <w:sz w:val="20"/>
                <w:szCs w:val="20"/>
              </w:rPr>
              <w:t xml:space="preserve">shipment_id</w:t>
            </w:r>
          </w:p>
        </w:tc>
        <w:tc>
          <w:tcPr>
            <w:tcW w:type="dxa" w:w="1600"/>
          </w:tcPr>
          <w:p>
            <w:r>
              <w:rPr>
                <w:b w:val="false"/>
                <w:bCs w:val="false"/>
                <w:color w:val="000000"/>
                <w:sz w:val="20"/>
                <w:szCs w:val="20"/>
              </w:rPr>
              <w:t xml:space="preserve">string</w:t>
            </w:r>
          </w:p>
        </w:tc>
        <w:tc>
          <w:tcPr>
            <w:tcW w:type="dxa" w:w="4600"/>
          </w:tcPr>
          <w:p>
            <w:r>
              <w:rPr>
                <w:b w:val="false"/>
                <w:bCs w:val="false"/>
                <w:color w:val="000000"/>
                <w:sz w:val="20"/>
                <w:szCs w:val="20"/>
              </w:rPr>
              <w:t xml:space="preserve">Unique identifier for each shipment</w:t>
            </w:r>
          </w:p>
        </w:tc>
      </w:tr>
      <w:tr>
        <w:tc>
          <w:tcPr>
            <w:tcW w:type="dxa" w:w="2800"/>
          </w:tcPr>
          <w:p>
            <w:r>
              <w:rPr>
                <w:b w:val="false"/>
                <w:bCs w:val="false"/>
                <w:color w:val="000000"/>
                <w:sz w:val="20"/>
                <w:szCs w:val="20"/>
              </w:rPr>
              <w:t xml:space="preserve">carrier</w:t>
            </w:r>
          </w:p>
        </w:tc>
        <w:tc>
          <w:tcPr>
            <w:tcW w:type="dxa" w:w="1600"/>
          </w:tcPr>
          <w:p>
            <w:r>
              <w:rPr>
                <w:b w:val="false"/>
                <w:bCs w:val="false"/>
                <w:color w:val="000000"/>
                <w:sz w:val="20"/>
                <w:szCs w:val="20"/>
              </w:rPr>
              <w:t xml:space="preserve">categorical</w:t>
            </w:r>
          </w:p>
        </w:tc>
        <w:tc>
          <w:tcPr>
            <w:tcW w:type="dxa" w:w="4600"/>
          </w:tcPr>
          <w:p>
            <w:r>
              <w:rPr>
                <w:b w:val="false"/>
                <w:bCs w:val="false"/>
                <w:color w:val="000000"/>
                <w:sz w:val="20"/>
                <w:szCs w:val="20"/>
              </w:rPr>
              <w:t xml:space="preserve">Logistics carrier handling the shipment</w:t>
            </w:r>
          </w:p>
        </w:tc>
      </w:tr>
      <w:tr>
        <w:tc>
          <w:tcPr>
            <w:tcW w:type="dxa" w:w="2800"/>
          </w:tcPr>
          <w:p>
            <w:r>
              <w:rPr>
                <w:b w:val="false"/>
                <w:bCs w:val="false"/>
                <w:color w:val="000000"/>
                <w:sz w:val="20"/>
                <w:szCs w:val="20"/>
              </w:rPr>
              <w:t xml:space="preserve">origin / destination</w:t>
            </w:r>
          </w:p>
        </w:tc>
        <w:tc>
          <w:tcPr>
            <w:tcW w:type="dxa" w:w="1600"/>
          </w:tcPr>
          <w:p>
            <w:r>
              <w:rPr>
                <w:b w:val="false"/>
                <w:bCs w:val="false"/>
                <w:color w:val="000000"/>
                <w:sz w:val="20"/>
                <w:szCs w:val="20"/>
              </w:rPr>
              <w:t xml:space="preserve">categorical</w:t>
            </w:r>
          </w:p>
        </w:tc>
        <w:tc>
          <w:tcPr>
            <w:tcW w:type="dxa" w:w="4600"/>
          </w:tcPr>
          <w:p>
            <w:r>
              <w:rPr>
                <w:b w:val="false"/>
                <w:bCs w:val="false"/>
                <w:color w:val="000000"/>
                <w:sz w:val="20"/>
                <w:szCs w:val="20"/>
              </w:rPr>
              <w:t xml:space="preserve">Source and destination cities</w:t>
            </w:r>
          </w:p>
        </w:tc>
      </w:tr>
      <w:tr>
        <w:tc>
          <w:tcPr>
            <w:tcW w:type="dxa" w:w="2800"/>
          </w:tcPr>
          <w:p>
            <w:r>
              <w:rPr>
                <w:b w:val="false"/>
                <w:bCs w:val="false"/>
                <w:color w:val="000000"/>
                <w:sz w:val="20"/>
                <w:szCs w:val="20"/>
              </w:rPr>
              <w:t xml:space="preserve">distance_km</w:t>
            </w:r>
          </w:p>
        </w:tc>
        <w:tc>
          <w:tcPr>
            <w:tcW w:type="dxa" w:w="1600"/>
          </w:tcPr>
          <w:p>
            <w:r>
              <w:rPr>
                <w:b w:val="false"/>
                <w:bCs w:val="false"/>
                <w:color w:val="000000"/>
                <w:sz w:val="20"/>
                <w:szCs w:val="20"/>
              </w:rPr>
              <w:t xml:space="preserve">numeric</w:t>
            </w:r>
          </w:p>
        </w:tc>
        <w:tc>
          <w:tcPr>
            <w:tcW w:type="dxa" w:w="4600"/>
          </w:tcPr>
          <w:p>
            <w:r>
              <w:rPr>
                <w:b w:val="false"/>
                <w:bCs w:val="false"/>
                <w:color w:val="000000"/>
                <w:sz w:val="20"/>
                <w:szCs w:val="20"/>
              </w:rPr>
              <w:t xml:space="preserve">Route distance in kilometers</w:t>
            </w:r>
          </w:p>
        </w:tc>
      </w:tr>
      <w:tr>
        <w:tc>
          <w:tcPr>
            <w:tcW w:type="dxa" w:w="2800"/>
          </w:tcPr>
          <w:p>
            <w:r>
              <w:rPr>
                <w:b w:val="false"/>
                <w:bCs w:val="false"/>
                <w:color w:val="000000"/>
                <w:sz w:val="20"/>
                <w:szCs w:val="20"/>
              </w:rPr>
              <w:t xml:space="preserve">weight_kg</w:t>
            </w:r>
          </w:p>
        </w:tc>
        <w:tc>
          <w:tcPr>
            <w:tcW w:type="dxa" w:w="1600"/>
          </w:tcPr>
          <w:p>
            <w:r>
              <w:rPr>
                <w:b w:val="false"/>
                <w:bCs w:val="false"/>
                <w:color w:val="000000"/>
                <w:sz w:val="20"/>
                <w:szCs w:val="20"/>
              </w:rPr>
              <w:t xml:space="preserve">numeric</w:t>
            </w:r>
          </w:p>
        </w:tc>
        <w:tc>
          <w:tcPr>
            <w:tcW w:type="dxa" w:w="4600"/>
          </w:tcPr>
          <w:p>
            <w:r>
              <w:rPr>
                <w:b w:val="false"/>
                <w:bCs w:val="false"/>
                <w:color w:val="000000"/>
                <w:sz w:val="20"/>
                <w:szCs w:val="20"/>
              </w:rPr>
              <w:t xml:space="preserve">Shipment weight in kilograms</w:t>
            </w:r>
          </w:p>
        </w:tc>
      </w:tr>
      <w:tr>
        <w:tc>
          <w:tcPr>
            <w:tcW w:type="dxa" w:w="2800"/>
          </w:tcPr>
          <w:p>
            <w:r>
              <w:rPr>
                <w:b w:val="false"/>
                <w:bCs w:val="false"/>
                <w:color w:val="000000"/>
                <w:sz w:val="20"/>
                <w:szCs w:val="20"/>
              </w:rPr>
              <w:t xml:space="preserve">transit_time_hours</w:t>
            </w:r>
          </w:p>
        </w:tc>
        <w:tc>
          <w:tcPr>
            <w:tcW w:type="dxa" w:w="1600"/>
          </w:tcPr>
          <w:p>
            <w:r>
              <w:rPr>
                <w:b w:val="false"/>
                <w:bCs w:val="false"/>
                <w:color w:val="000000"/>
                <w:sz w:val="20"/>
                <w:szCs w:val="20"/>
              </w:rPr>
              <w:t xml:space="preserve">numeric</w:t>
            </w:r>
          </w:p>
        </w:tc>
        <w:tc>
          <w:tcPr>
            <w:tcW w:type="dxa" w:w="4600"/>
          </w:tcPr>
          <w:p>
            <w:r>
              <w:rPr>
                <w:b w:val="false"/>
                <w:bCs w:val="false"/>
                <w:color w:val="000000"/>
                <w:sz w:val="20"/>
                <w:szCs w:val="20"/>
              </w:rPr>
              <w:t xml:space="preserve">Time taken in transit (hours)</w:t>
            </w:r>
          </w:p>
        </w:tc>
      </w:tr>
      <w:tr>
        <w:tc>
          <w:tcPr>
            <w:tcW w:type="dxa" w:w="2800"/>
          </w:tcPr>
          <w:p>
            <w:r>
              <w:rPr>
                <w:b w:val="false"/>
                <w:bCs w:val="false"/>
                <w:color w:val="000000"/>
                <w:sz w:val="20"/>
                <w:szCs w:val="20"/>
              </w:rPr>
              <w:t xml:space="preserve">delivery_cost_inr</w:t>
            </w:r>
          </w:p>
        </w:tc>
        <w:tc>
          <w:tcPr>
            <w:tcW w:type="dxa" w:w="1600"/>
          </w:tcPr>
          <w:p>
            <w:r>
              <w:rPr>
                <w:b w:val="false"/>
                <w:bCs w:val="false"/>
                <w:color w:val="000000"/>
                <w:sz w:val="20"/>
                <w:szCs w:val="20"/>
              </w:rPr>
              <w:t xml:space="preserve">numeric</w:t>
            </w:r>
          </w:p>
        </w:tc>
        <w:tc>
          <w:tcPr>
            <w:tcW w:type="dxa" w:w="4600"/>
          </w:tcPr>
          <w:p>
            <w:r>
              <w:rPr>
                <w:b w:val="false"/>
                <w:bCs w:val="false"/>
                <w:color w:val="000000"/>
                <w:sz w:val="20"/>
                <w:szCs w:val="20"/>
              </w:rPr>
              <w:t xml:space="preserve">Delivery cost in INR</w:t>
            </w:r>
          </w:p>
        </w:tc>
      </w:tr>
      <w:tr>
        <w:tc>
          <w:tcPr>
            <w:tcW w:type="dxa" w:w="2800"/>
          </w:tcPr>
          <w:p>
            <w:r>
              <w:rPr>
                <w:b w:val="false"/>
                <w:bCs w:val="false"/>
                <w:color w:val="000000"/>
                <w:sz w:val="20"/>
                <w:szCs w:val="20"/>
              </w:rPr>
              <w:t xml:space="preserve">on_time_flag</w:t>
            </w:r>
          </w:p>
        </w:tc>
        <w:tc>
          <w:tcPr>
            <w:tcW w:type="dxa" w:w="1600"/>
          </w:tcPr>
          <w:p>
            <w:r>
              <w:rPr>
                <w:b w:val="false"/>
                <w:bCs w:val="false"/>
                <w:color w:val="000000"/>
                <w:sz w:val="20"/>
                <w:szCs w:val="20"/>
              </w:rPr>
              <w:t xml:space="preserve">categorical</w:t>
            </w:r>
          </w:p>
        </w:tc>
        <w:tc>
          <w:tcPr>
            <w:tcW w:type="dxa" w:w="4600"/>
          </w:tcPr>
          <w:p>
            <w:r>
              <w:rPr>
                <w:b w:val="false"/>
                <w:bCs w:val="false"/>
                <w:color w:val="000000"/>
                <w:sz w:val="20"/>
                <w:szCs w:val="20"/>
              </w:rPr>
              <w:t xml:space="preserve">Whether delivery met the SLA window</w:t>
            </w:r>
          </w:p>
        </w:tc>
      </w:tr>
    </w:tbl>
    <w:p>
      <w:pPr>
        <w:spacing w:after="200"/>
      </w:pPr>
    </w:p>
    <w:p>
      <w:pPr>
        <w:pStyle w:val="Heading1"/>
        <w:spacing w:after="150" w:before="300"/>
      </w:pPr>
      <w:r>
        <w:t xml:space="preserve">3. Data Quality Issues Identified</w:t>
      </w:r>
    </w:p>
    <w:p>
      <w:pPr>
        <w:spacing w:after="150"/>
      </w:pPr>
      <w:r>
        <w:t xml:space="preserve">Before any modeling or analysis can take place, the raw dataset was audited for common logistics-data quality issues. The table below summarizes each issue, how it was detected, and the correction technique applied.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2F5496" w:val="clear"/>
          </w:tcPr>
          <w:p>
            <w:r>
              <w:rPr>
                <w:b/>
                <w:bCs/>
                <w:color w:val="FFFFFF"/>
                <w:sz w:val="20"/>
                <w:szCs w:val="20"/>
              </w:rPr>
              <w:t xml:space="preserve">Issue</w:t>
            </w:r>
          </w:p>
        </w:tc>
        <w:tc>
          <w:tcPr>
            <w:tcW w:type="dxa" w:w="3600"/>
            <w:shd w:fill="2F5496" w:val="clear"/>
          </w:tcPr>
          <w:p>
            <w:r>
              <w:rPr>
                <w:b/>
                <w:bCs/>
                <w:color w:val="FFFFFF"/>
                <w:sz w:val="20"/>
                <w:szCs w:val="20"/>
              </w:rPr>
              <w:t xml:space="preserve">Detection Method</w:t>
            </w:r>
          </w:p>
        </w:tc>
        <w:tc>
          <w:tcPr>
            <w:tcW w:type="dxa" w:w="2800"/>
            <w:shd w:fill="2F5496" w:val="clear"/>
          </w:tcPr>
          <w:p>
            <w:r>
              <w:rPr>
                <w:b/>
                <w:bCs/>
                <w:color w:val="FFFFFF"/>
                <w:sz w:val="20"/>
                <w:szCs w:val="20"/>
              </w:rPr>
              <w:t xml:space="preserve">Correction Technique</w:t>
            </w:r>
          </w:p>
        </w:tc>
      </w:tr>
      <w:tr>
        <w:tc>
          <w:tcPr>
            <w:tcW w:type="dxa" w:w="2600"/>
          </w:tcPr>
          <w:p>
            <w:r>
              <w:rPr>
                <w:b w:val="false"/>
                <w:bCs w:val="false"/>
                <w:color w:val="000000"/>
                <w:sz w:val="20"/>
                <w:szCs w:val="20"/>
              </w:rPr>
              <w:t xml:space="preserve">Missing values</w:t>
            </w:r>
          </w:p>
        </w:tc>
        <w:tc>
          <w:tcPr>
            <w:tcW w:type="dxa" w:w="3600"/>
          </w:tcPr>
          <w:p>
            <w:r>
              <w:rPr>
                <w:b w:val="false"/>
                <w:bCs w:val="false"/>
                <w:color w:val="000000"/>
                <w:sz w:val="20"/>
                <w:szCs w:val="20"/>
              </w:rPr>
              <w:t xml:space="preserve">df.isna().sum() per column</w:t>
            </w:r>
          </w:p>
        </w:tc>
        <w:tc>
          <w:tcPr>
            <w:tcW w:type="dxa" w:w="2800"/>
          </w:tcPr>
          <w:p>
            <w:r>
              <w:rPr>
                <w:b w:val="false"/>
                <w:bCs w:val="false"/>
                <w:color w:val="000000"/>
                <w:sz w:val="20"/>
                <w:szCs w:val="20"/>
              </w:rPr>
              <w:t xml:space="preserve">Median imputation, grouped by carrier</w:t>
            </w:r>
          </w:p>
        </w:tc>
      </w:tr>
      <w:tr>
        <w:tc>
          <w:tcPr>
            <w:tcW w:type="dxa" w:w="2600"/>
          </w:tcPr>
          <w:p>
            <w:r>
              <w:rPr>
                <w:b w:val="false"/>
                <w:bCs w:val="false"/>
                <w:color w:val="000000"/>
                <w:sz w:val="20"/>
                <w:szCs w:val="20"/>
              </w:rPr>
              <w:t xml:space="preserve">Outliers</w:t>
            </w:r>
          </w:p>
        </w:tc>
        <w:tc>
          <w:tcPr>
            <w:tcW w:type="dxa" w:w="3600"/>
          </w:tcPr>
          <w:p>
            <w:r>
              <w:rPr>
                <w:b w:val="false"/>
                <w:bCs w:val="false"/>
                <w:color w:val="000000"/>
                <w:sz w:val="20"/>
                <w:szCs w:val="20"/>
              </w:rPr>
              <w:t xml:space="preserve">IQR rule (Q1 - 1.5*IQR, Q3 + 1.5*IQR)</w:t>
            </w:r>
          </w:p>
        </w:tc>
        <w:tc>
          <w:tcPr>
            <w:tcW w:type="dxa" w:w="2800"/>
          </w:tcPr>
          <w:p>
            <w:r>
              <w:rPr>
                <w:b w:val="false"/>
                <w:bCs w:val="false"/>
                <w:color w:val="000000"/>
                <w:sz w:val="20"/>
                <w:szCs w:val="20"/>
              </w:rPr>
              <w:t xml:space="preserve">Winsorizing / capping to IQR bounds</w:t>
            </w:r>
          </w:p>
        </w:tc>
      </w:tr>
      <w:tr>
        <w:tc>
          <w:tcPr>
            <w:tcW w:type="dxa" w:w="2600"/>
          </w:tcPr>
          <w:p>
            <w:r>
              <w:rPr>
                <w:b w:val="false"/>
                <w:bCs w:val="false"/>
                <w:color w:val="000000"/>
                <w:sz w:val="20"/>
                <w:szCs w:val="20"/>
              </w:rPr>
              <w:t xml:space="preserve">Duplicate records</w:t>
            </w:r>
          </w:p>
        </w:tc>
        <w:tc>
          <w:tcPr>
            <w:tcW w:type="dxa" w:w="3600"/>
          </w:tcPr>
          <w:p>
            <w:r>
              <w:rPr>
                <w:b w:val="false"/>
                <w:bCs w:val="false"/>
                <w:color w:val="000000"/>
                <w:sz w:val="20"/>
                <w:szCs w:val="20"/>
              </w:rPr>
              <w:t xml:space="preserve">drop_duplicates on shipment_id</w:t>
            </w:r>
          </w:p>
        </w:tc>
        <w:tc>
          <w:tcPr>
            <w:tcW w:type="dxa" w:w="2800"/>
          </w:tcPr>
          <w:p>
            <w:r>
              <w:rPr>
                <w:b w:val="false"/>
                <w:bCs w:val="false"/>
                <w:color w:val="000000"/>
                <w:sz w:val="20"/>
                <w:szCs w:val="20"/>
              </w:rPr>
              <w:t xml:space="preserve">Keep first occurrence, drop rest</w:t>
            </w:r>
          </w:p>
        </w:tc>
      </w:tr>
      <w:tr>
        <w:tc>
          <w:tcPr>
            <w:tcW w:type="dxa" w:w="2600"/>
          </w:tcPr>
          <w:p>
            <w:r>
              <w:rPr>
                <w:b w:val="false"/>
                <w:bCs w:val="false"/>
                <w:color w:val="000000"/>
                <w:sz w:val="20"/>
                <w:szCs w:val="20"/>
              </w:rPr>
              <w:t xml:space="preserve">Inconsistent text casing</w:t>
            </w:r>
          </w:p>
        </w:tc>
        <w:tc>
          <w:tcPr>
            <w:tcW w:type="dxa" w:w="3600"/>
          </w:tcPr>
          <w:p>
            <w:r>
              <w:rPr>
                <w:b w:val="false"/>
                <w:bCs w:val="false"/>
                <w:color w:val="000000"/>
                <w:sz w:val="20"/>
                <w:szCs w:val="20"/>
              </w:rPr>
              <w:t xml:space="preserve">Manual/regex inspection of categorical columns</w:t>
            </w:r>
          </w:p>
        </w:tc>
        <w:tc>
          <w:tcPr>
            <w:tcW w:type="dxa" w:w="2800"/>
          </w:tcPr>
          <w:p>
            <w:r>
              <w:rPr>
                <w:b w:val="false"/>
                <w:bCs w:val="false"/>
                <w:color w:val="000000"/>
                <w:sz w:val="20"/>
                <w:szCs w:val="20"/>
              </w:rPr>
              <w:t xml:space="preserve">str.strip().str.title() standardization</w:t>
            </w:r>
          </w:p>
        </w:tc>
      </w:tr>
      <w:tr>
        <w:tc>
          <w:tcPr>
            <w:tcW w:type="dxa" w:w="2600"/>
          </w:tcPr>
          <w:p>
            <w:r>
              <w:rPr>
                <w:b w:val="false"/>
                <w:bCs w:val="false"/>
                <w:color w:val="000000"/>
                <w:sz w:val="20"/>
                <w:szCs w:val="20"/>
              </w:rPr>
              <w:t xml:space="preserve">Inconsistent feature scales</w:t>
            </w:r>
          </w:p>
        </w:tc>
        <w:tc>
          <w:tcPr>
            <w:tcW w:type="dxa" w:w="3600"/>
          </w:tcPr>
          <w:p>
            <w:r>
              <w:rPr>
                <w:b w:val="false"/>
                <w:bCs w:val="false"/>
                <w:color w:val="000000"/>
                <w:sz w:val="20"/>
                <w:szCs w:val="20"/>
              </w:rPr>
              <w:t xml:space="preserve">Compare column min/max ranges</w:t>
            </w:r>
          </w:p>
        </w:tc>
        <w:tc>
          <w:tcPr>
            <w:tcW w:type="dxa" w:w="2800"/>
          </w:tcPr>
          <w:p>
            <w:r>
              <w:rPr>
                <w:b w:val="false"/>
                <w:bCs w:val="false"/>
                <w:color w:val="000000"/>
                <w:sz w:val="20"/>
                <w:szCs w:val="20"/>
              </w:rPr>
              <w:t xml:space="preserve">Min-max normalization to [0, 1]</w:t>
            </w:r>
          </w:p>
        </w:tc>
      </w:tr>
    </w:tbl>
    <w:p>
      <w:pPr>
        <w:spacing w:after="200"/>
      </w:pPr>
    </w:p>
    <w:p>
      <w:pPr>
        <w:pStyle w:val="Heading1"/>
        <w:spacing w:after="150" w:before="300"/>
      </w:pPr>
      <w:r>
        <w:t xml:space="preserve">4. Methodology and Rationale</w:t>
      </w:r>
    </w:p>
    <w:p>
      <w:pPr>
        <w:pStyle w:val="Heading2"/>
        <w:spacing w:after="100" w:before="200"/>
      </w:pPr>
      <w:r>
        <w:t xml:space="preserve">4.1 Standardizing Categorical Text</w:t>
      </w:r>
    </w:p>
    <w:p>
      <w:pPr>
        <w:spacing w:after="150"/>
      </w:pPr>
      <w:r>
        <w:t xml:space="preserve">Carrier, origin, and destination fields contained inconsistent casing (e.g., 'FASTFREIGHT' vs 'FastFreight'). Left uncleaned, this would cause the same category to be treated as multiple distinct groups during aggregation. Applying str.strip().str.title() ensures consistent grouping keys.</w:t>
      </w:r>
    </w:p>
    <w:p>
      <w:pPr>
        <w:pStyle w:val="Heading2"/>
        <w:spacing w:after="100" w:before="200"/>
      </w:pPr>
      <w:r>
        <w:t xml:space="preserve">4.2 Removing Duplicate Records</w:t>
      </w:r>
    </w:p>
    <w:p>
      <w:pPr>
        <w:spacing w:after="150"/>
      </w:pPr>
      <w:r>
        <w:t xml:space="preserve">Duplicate shipment_id rows can arise from repeated data entry or system re-transmission in real logistics pipelines. Duplicates were identified using drop_duplicates() on the unique identifier and removed, keeping the first occurrence, to prevent double-counting in downstream metrics such as average transit time or total cost.</w:t>
      </w:r>
    </w:p>
    <w:p>
      <w:pPr>
        <w:pStyle w:val="Heading2"/>
        <w:spacing w:after="100" w:before="200"/>
      </w:pPr>
      <w:r>
        <w:t xml:space="preserve">4.3 Handling Missing Values</w:t>
      </w:r>
    </w:p>
    <w:p>
      <w:pPr>
        <w:spacing w:after="150"/>
      </w:pPr>
      <w:r>
        <w:t xml:space="preserve">Roughly 6% of values in each numeric column were missing, simulating sensor drop-outs or incomplete manifest entries common in logistics systems. Rather than a single global mean/median (which can mask systematic differences between carriers), missing values were imputed using the median value within each carrier group. Median imputation was chosen over mean imputation because transit time and cost distributions are right-skewed and sensitive to outliers; the median is more robust. A global-median fallback handles any carrier group that is entirely missing for a column.</w:t>
      </w:r>
    </w:p>
    <w:p>
      <w:pPr>
        <w:pStyle w:val="Heading2"/>
        <w:spacing w:after="100" w:before="200"/>
      </w:pPr>
      <w:r>
        <w:t xml:space="preserve">4.4 Outlier Detection and Treatment</w:t>
      </w:r>
    </w:p>
    <w:p>
      <w:pPr>
        <w:spacing w:after="150"/>
      </w:pPr>
      <w:r>
        <w:t xml:space="preserve">Outliers (e.g., a transit time five times the norm due to a data-entry or logging error) were detected using the Interquartile Range (IQR) method: values beyond Q1 - 1.5*IQR or Q3 + 1.5*IQR are flagged. Rather than deleting these rows and losing sample size, values were winsorized (capped) at the IQR bounds. This limits the distorting effect of extreme values on downstream statistics (e.g., mean cost, correlation analysis) while preserving every shipment record for analysis.</w:t>
      </w:r>
    </w:p>
    <w:p>
      <w:pPr>
        <w:pStyle w:val="Heading2"/>
        <w:spacing w:after="100" w:before="200"/>
      </w:pPr>
      <w:r>
        <w:t xml:space="preserve">4.5 Normalization</w:t>
      </w:r>
    </w:p>
    <w:p>
      <w:pPr>
        <w:spacing w:after="150"/>
      </w:pPr>
      <w:r>
        <w:t xml:space="preserve">distance_km, weight_kg, transit_time_hours, and delivery_cost_inr are measured in different units and scales. Min-max normalization rescales each to a [0, 1] range, which is important for distance-based algorithms (e.g., k-nearest neighbors, clustering) and gradient-based models where unscaled features can dominate the loss function purely due to magnitude rather than importance.</w:t>
      </w:r>
    </w:p>
    <w:p>
      <w:pPr>
        <w:pStyle w:val="Heading1"/>
        <w:spacing w:after="150" w:before="300"/>
      </w:pPr>
      <w:r>
        <w:t xml:space="preserve">5. Python Implementation</w:t>
      </w:r>
    </w:p>
    <w:p>
      <w:pPr>
        <w:spacing w:after="150"/>
      </w:pPr>
      <w:r>
        <w:t xml:space="preserve">The following code snippets illustrate the core preprocessing steps using pandas and numpy. The full script is provided in src/preprocess.py.</w:t>
      </w:r>
    </w:p>
    <w:p>
      <w:pPr>
        <w:pStyle w:val="Heading2"/>
        <w:spacing w:after="100" w:before="200"/>
      </w:pPr>
      <w:r>
        <w:t xml:space="preserve">5.1 Loading and Standardizing Data</w:t>
      </w:r>
    </w:p>
    <w:p>
      <w:pPr>
        <w:pBdr>
          <w:top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df = pd.read_csv('data/raw_logistics_shipments.csv')</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cat_cols = ['carrier', 'origin', 'destination', 'on_time_flag']</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for col in cat_cols:</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df[col] = df[col].astype(str).str.strip().str.title()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w:t>
      </w:r>
    </w:p>
    <w:p>
      <w:pPr>
        <w:pBdr>
          <w:bottom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df = df.drop_duplicates(subset='shipment_id', keep='first')</w:t>
      </w:r>
    </w:p>
    <w:p>
      <w:pPr>
        <w:spacing w:after="200"/>
      </w:pPr>
    </w:p>
    <w:p>
      <w:pPr>
        <w:pStyle w:val="Heading2"/>
        <w:spacing w:after="100" w:before="200"/>
      </w:pPr>
      <w:r>
        <w:t xml:space="preserve">5.2 Missing Value Imputation</w:t>
      </w:r>
    </w:p>
    <w:p>
      <w:pPr>
        <w:pBdr>
          <w:top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numeric_cols = ['distance_km', 'weight_kg',</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'transit_time_hours', 'delivery_cost_inr']</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for col in numeric_cols:</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df[col] = df.groupby('carrier')[col].transform(</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lambda s: s.fillna(s.median())</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w:t>
      </w:r>
    </w:p>
    <w:p>
      <w:pPr>
        <w:pBdr>
          <w:bottom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    df[col] = df[col].fillna(df[col].median())  # fallback</w:t>
      </w:r>
    </w:p>
    <w:p>
      <w:pPr>
        <w:spacing w:after="200"/>
      </w:pPr>
    </w:p>
    <w:p>
      <w:pPr>
        <w:pStyle w:val="Heading2"/>
        <w:spacing w:after="100" w:before="200"/>
      </w:pPr>
      <w:r>
        <w:t xml:space="preserve">5.3 Outlier Detection (IQR Method)</w:t>
      </w:r>
    </w:p>
    <w:p>
      <w:pPr>
        <w:pBdr>
          <w:top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for col in numeric_cols:</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q1, q3 = df[col].quantile(0.25), df[col].quantile(0.75)</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iqr = q3 - q1</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lower, upper = q1 - 1.5 * iqr, q3 + 1.5 * iqr</w:t>
      </w:r>
    </w:p>
    <w:p>
      <w:pPr>
        <w:pBdr>
          <w:bottom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    df[col] = df[col].clip(lower=lower, upper=upper)</w:t>
      </w:r>
    </w:p>
    <w:p>
      <w:pPr>
        <w:spacing w:after="200"/>
      </w:pPr>
    </w:p>
    <w:p>
      <w:pPr>
        <w:pStyle w:val="Heading2"/>
        <w:spacing w:after="100" w:before="200"/>
      </w:pPr>
      <w:r>
        <w:t xml:space="preserve">5.4 Min-Max Normalization</w:t>
      </w:r>
    </w:p>
    <w:p>
      <w:pPr>
        <w:pBdr>
          <w:top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for col in numeric_cols:</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col_min, col_max = df[col].min(), df[col].max()</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df[f'{col}_norm'] = (df[col] - col_min) / (col_max - col_min)</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w:t>
      </w:r>
    </w:p>
    <w:p>
      <w:pPr>
        <w:pBdr>
          <w:bottom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df.to_csv('data/cleaned_logistics_shipments.csv', index=False)</w:t>
      </w:r>
    </w:p>
    <w:p>
      <w:pPr>
        <w:spacing w:after="200"/>
      </w:pPr>
    </w:p>
    <w:p>
      <w:pPr>
        <w:pStyle w:val="Heading1"/>
        <w:spacing w:after="150" w:before="300"/>
      </w:pPr>
      <w:r>
        <w:t xml:space="preserve">6. Reflection: Data Quality's Impact on Logistics Analytics</w:t>
      </w:r>
    </w:p>
    <w:p>
      <w:pPr>
        <w:spacing w:after="150"/>
      </w:pPr>
      <w:r>
        <w:t xml:space="preserve">In logistics operations, decisions such as carrier selection, route optimization, and delivery-time forecasting depend directly on the reliability of underlying data. Unaddressed missing values bias average transit-time and cost calculations; unaddressed outliers can make a single mislogged shipment distort fleet-wide KPIs; unnormalized features can cause distance-based models to weight cost in rupees far more heavily than transit time in hours simply due to scale. Systematic, well-documented preprocessing therefore directly improves the accuracy of downstream analytics — from SLA compliance dashboards to predictive ETA models — and ultimately supports better operational and strategic decision-making.</w:t>
      </w:r>
    </w:p>
    <w:p>
      <w:pPr>
        <w:pStyle w:val="Heading1"/>
        <w:spacing w:after="150" w:before="300"/>
      </w:pPr>
      <w:r>
        <w:t xml:space="preserve">7. Deliverables Summary</w:t>
      </w:r>
    </w:p>
    <w:p>
      <w:pPr>
        <w:pStyle w:val="ListParagraph"/>
        <w:numPr>
          <w:ilvl w:val="0"/>
          <w:numId w:val="1"/>
        </w:numPr>
        <w:spacing w:after="60"/>
      </w:pPr>
      <w:r>
        <w:t xml:space="preserve">Simulated raw dataset: data/raw_logistics_shipments.csv</w:t>
      </w:r>
    </w:p>
    <w:p>
      <w:pPr>
        <w:pStyle w:val="ListParagraph"/>
        <w:numPr>
          <w:ilvl w:val="0"/>
          <w:numId w:val="1"/>
        </w:numPr>
        <w:spacing w:after="60"/>
      </w:pPr>
      <w:r>
        <w:t xml:space="preserve">Cleaned dataset: data/cleaned_logistics_shipments.csv</w:t>
      </w:r>
    </w:p>
    <w:p>
      <w:pPr>
        <w:pStyle w:val="ListParagraph"/>
        <w:numPr>
          <w:ilvl w:val="0"/>
          <w:numId w:val="1"/>
        </w:numPr>
        <w:spacing w:after="60"/>
      </w:pPr>
      <w:r>
        <w:t xml:space="preserve">Preprocessing pipeline: src/preprocess.py</w:t>
      </w:r>
    </w:p>
    <w:p>
      <w:pPr>
        <w:pStyle w:val="ListParagraph"/>
        <w:numPr>
          <w:ilvl w:val="0"/>
          <w:numId w:val="1"/>
        </w:numPr>
        <w:spacing w:after="60"/>
      </w:pPr>
      <w:r>
        <w:t xml:space="preserve">This report: docs/Logistics_Data_Preprocessing_Report.docx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2026-09-12T13:21:19.384Z</dcterms:created>
  <dcterms:modified xsi:type="dcterms:W3CDTF">2026-09-12T13:21:19.384Z</dcterms:modified>
</cp:coreProperties>
</file>

<file path=docProps/custom.xml><?xml version="1.0" encoding="utf-8"?>
<Properties xmlns="http://schemas.openxmlformats.org/officeDocument/2006/custom-properties" xmlns:vt="http://schemas.openxmlformats.org/officeDocument/2006/docPropsVTypes"/>
</file>