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Logistics Predictive Modeling &amp; Optimization Report</w:t>
      </w:r>
    </w:p>
    <w:p>
      <w:pPr>
        <w:spacing w:after="400"/>
      </w:pPr>
      <w:r>
        <w:rPr>
          <w:i/>
          <w:iCs/>
          <w:color w:val="595959"/>
          <w:sz w:val="24"/>
          <w:szCs w:val="24"/>
        </w:rPr>
        <w:t xml:space="preserve">Forecasting Shipment Delivery Time and Deriving Operational Optimization Strategies</w:t>
      </w:r>
    </w:p>
    <w:p>
      <w:pPr>
        <w:pStyle w:val="Heading1"/>
        <w:spacing w:after="150" w:before="300"/>
      </w:pPr>
      <w:r>
        <w:t xml:space="preserve">1. Objective</w:t>
      </w:r>
    </w:p>
    <w:p>
      <w:pPr>
        <w:spacing w:after="150"/>
      </w:pPr>
      <w:r>
        <w:t xml:space="preserve">This report applies predictive modeling to a core logistics problem: forecasting shipment delivery time from route, load, traffic, weather, and carrier attributes. Beyond prediction accuracy, the report translates model insights (feature importance) into concrete operational optimization recommendations covering route planning, resource allocation, and cost minimization.</w:t>
      </w:r>
    </w:p>
    <w:p>
      <w:pPr>
        <w:pStyle w:val="Heading1"/>
        <w:spacing w:after="150" w:before="300"/>
      </w:pPr>
      <w:r>
        <w:t xml:space="preserve">2. Problem Definition and Data Simulation</w:t>
      </w:r>
    </w:p>
    <w:p>
      <w:pPr>
        <w:pStyle w:val="Heading2"/>
        <w:spacing w:after="100" w:before="200"/>
      </w:pPr>
      <w:r>
        <w:t xml:space="preserve">2.1 Prediction Problem</w:t>
      </w:r>
    </w:p>
    <w:p>
      <w:pPr>
        <w:spacing w:after="150"/>
      </w:pPr>
      <w:r>
        <w:t xml:space="preserve">Target variable: delivery_time_hours — the total time (in hours) between a shipment's dispatch and its delivery. Accurately forecasting this metric supports realistic customer ETAs, proactive exception handling, and more efficient fleet/route scheduling.</w:t>
      </w:r>
    </w:p>
    <w:p>
      <w:pPr>
        <w:pStyle w:val="Heading2"/>
        <w:spacing w:after="100" w:before="200"/>
      </w:pPr>
      <w:r>
        <w:t xml:space="preserve">2.2 Simulated Dataset</w:t>
      </w:r>
    </w:p>
    <w:p>
      <w:pPr>
        <w:spacing w:after="150"/>
      </w:pPr>
      <w:r>
        <w:t xml:space="preserve">A dataset of 600 shipment records was simulated to reflect the structure of typical last-mile delivery operations, with delivery time generated as a function of distance, region type, vehicle type, traffic congestion, weather, number of stops, shipment weight, and driver experience, plus random noise — mirroring the mix of systematic and stochastic factors seen in real delivery networks. Approximately 3% of traffic_index and driver_experience_years values were left missing to simulate incomplete telemetry/HR data, requiring imputation during preprocessing.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c>
          <w:tcPr>
            <w:tcW w:type="dxa" w:w="2500"/>
            <w:shd w:fill="2F5496" w:val="clear"/>
          </w:tcPr>
          <w:p>
            <w:r>
              <w:rPr>
                <w:b/>
                <w:bCs/>
                <w:color w:val="FFFFFF"/>
                <w:sz w:val="20"/>
                <w:szCs w:val="20"/>
              </w:rPr>
              <w:t xml:space="preserve">Feature</w:t>
            </w:r>
          </w:p>
        </w:tc>
        <w:tc>
          <w:tcPr>
            <w:tcW w:type="dxa" w:w="1500"/>
            <w:shd w:fill="2F5496" w:val="clear"/>
          </w:tcPr>
          <w:p>
            <w:r>
              <w:rPr>
                <w:b/>
                <w:bCs/>
                <w:color w:val="FFFFFF"/>
                <w:sz w:val="20"/>
                <w:szCs w:val="20"/>
              </w:rPr>
              <w:t xml:space="preserve">Type</w:t>
            </w:r>
          </w:p>
        </w:tc>
        <w:tc>
          <w:tcPr>
            <w:tcW w:type="dxa" w:w="5500"/>
            <w:shd w:fill="2F5496" w:val="clear"/>
          </w:tcPr>
          <w:p>
            <w:r>
              <w:rPr>
                <w:b/>
                <w:bCs/>
                <w:color w:val="FFFFFF"/>
                <w:sz w:val="20"/>
                <w:szCs w:val="20"/>
              </w:rPr>
              <w:t xml:space="preserve">Description</w:t>
            </w:r>
          </w:p>
        </w:tc>
      </w:tr>
      <w:tr>
        <w:tc>
          <w:tcPr>
            <w:tcW w:type="dxa" w:w="2500"/>
          </w:tcPr>
          <w:p>
            <w:r>
              <w:rPr>
                <w:b w:val="false"/>
                <w:bCs w:val="false"/>
                <w:color w:val="000000"/>
                <w:sz w:val="20"/>
                <w:szCs w:val="20"/>
              </w:rPr>
              <w:t xml:space="preserve">distance_km</w:t>
            </w:r>
          </w:p>
        </w:tc>
        <w:tc>
          <w:tcPr>
            <w:tcW w:type="dxa" w:w="1500"/>
          </w:tcPr>
          <w:p>
            <w:r>
              <w:rPr>
                <w:b w:val="false"/>
                <w:bCs w:val="false"/>
                <w:color w:val="000000"/>
                <w:sz w:val="20"/>
                <w:szCs w:val="20"/>
              </w:rPr>
              <w:t xml:space="preserve">numeric</w:t>
            </w:r>
          </w:p>
        </w:tc>
        <w:tc>
          <w:tcPr>
            <w:tcW w:type="dxa" w:w="5500"/>
          </w:tcPr>
          <w:p>
            <w:r>
              <w:rPr>
                <w:b w:val="false"/>
                <w:bCs w:val="false"/>
                <w:color w:val="000000"/>
                <w:sz w:val="20"/>
                <w:szCs w:val="20"/>
              </w:rPr>
              <w:t xml:space="preserve">Route distance for the shipment</w:t>
            </w:r>
          </w:p>
        </w:tc>
      </w:tr>
      <w:tr>
        <w:tc>
          <w:tcPr>
            <w:tcW w:type="dxa" w:w="2500"/>
          </w:tcPr>
          <w:p>
            <w:r>
              <w:rPr>
                <w:b w:val="false"/>
                <w:bCs w:val="false"/>
                <w:color w:val="000000"/>
                <w:sz w:val="20"/>
                <w:szCs w:val="20"/>
              </w:rPr>
              <w:t xml:space="preserve">weight_kg</w:t>
            </w:r>
          </w:p>
        </w:tc>
        <w:tc>
          <w:tcPr>
            <w:tcW w:type="dxa" w:w="1500"/>
          </w:tcPr>
          <w:p>
            <w:r>
              <w:rPr>
                <w:b w:val="false"/>
                <w:bCs w:val="false"/>
                <w:color w:val="000000"/>
                <w:sz w:val="20"/>
                <w:szCs w:val="20"/>
              </w:rPr>
              <w:t xml:space="preserve">numeric</w:t>
            </w:r>
          </w:p>
        </w:tc>
        <w:tc>
          <w:tcPr>
            <w:tcW w:type="dxa" w:w="5500"/>
          </w:tcPr>
          <w:p>
            <w:r>
              <w:rPr>
                <w:b w:val="false"/>
                <w:bCs w:val="false"/>
                <w:color w:val="000000"/>
                <w:sz w:val="20"/>
                <w:szCs w:val="20"/>
              </w:rPr>
              <w:t xml:space="preserve">Shipment weight</w:t>
            </w:r>
          </w:p>
        </w:tc>
      </w:tr>
      <w:tr>
        <w:tc>
          <w:tcPr>
            <w:tcW w:type="dxa" w:w="2500"/>
          </w:tcPr>
          <w:p>
            <w:r>
              <w:rPr>
                <w:b w:val="false"/>
                <w:bCs w:val="false"/>
                <w:color w:val="000000"/>
                <w:sz w:val="20"/>
                <w:szCs w:val="20"/>
              </w:rPr>
              <w:t xml:space="preserve">num_stops</w:t>
            </w:r>
          </w:p>
        </w:tc>
        <w:tc>
          <w:tcPr>
            <w:tcW w:type="dxa" w:w="1500"/>
          </w:tcPr>
          <w:p>
            <w:r>
              <w:rPr>
                <w:b w:val="false"/>
                <w:bCs w:val="false"/>
                <w:color w:val="000000"/>
                <w:sz w:val="20"/>
                <w:szCs w:val="20"/>
              </w:rPr>
              <w:t xml:space="preserve">numeric</w:t>
            </w:r>
          </w:p>
        </w:tc>
        <w:tc>
          <w:tcPr>
            <w:tcW w:type="dxa" w:w="5500"/>
          </w:tcPr>
          <w:p>
            <w:r>
              <w:rPr>
                <w:b w:val="false"/>
                <w:bCs w:val="false"/>
                <w:color w:val="000000"/>
                <w:sz w:val="20"/>
                <w:szCs w:val="20"/>
              </w:rPr>
              <w:t xml:space="preserve">Number of stops on the route</w:t>
            </w:r>
          </w:p>
        </w:tc>
      </w:tr>
      <w:tr>
        <w:tc>
          <w:tcPr>
            <w:tcW w:type="dxa" w:w="2500"/>
          </w:tcPr>
          <w:p>
            <w:r>
              <w:rPr>
                <w:b w:val="false"/>
                <w:bCs w:val="false"/>
                <w:color w:val="000000"/>
                <w:sz w:val="20"/>
                <w:szCs w:val="20"/>
              </w:rPr>
              <w:t xml:space="preserve">traffic_index</w:t>
            </w:r>
          </w:p>
        </w:tc>
        <w:tc>
          <w:tcPr>
            <w:tcW w:type="dxa" w:w="1500"/>
          </w:tcPr>
          <w:p>
            <w:r>
              <w:rPr>
                <w:b w:val="false"/>
                <w:bCs w:val="false"/>
                <w:color w:val="000000"/>
                <w:sz w:val="20"/>
                <w:szCs w:val="20"/>
              </w:rPr>
              <w:t xml:space="preserve">numeric</w:t>
            </w:r>
          </w:p>
        </w:tc>
        <w:tc>
          <w:tcPr>
            <w:tcW w:type="dxa" w:w="5500"/>
          </w:tcPr>
          <w:p>
            <w:r>
              <w:rPr>
                <w:b w:val="false"/>
                <w:bCs w:val="false"/>
                <w:color w:val="000000"/>
                <w:sz w:val="20"/>
                <w:szCs w:val="20"/>
              </w:rPr>
              <w:t xml:space="preserve">0-1 congestion severity (1 = heaviest)</w:t>
            </w:r>
          </w:p>
        </w:tc>
      </w:tr>
      <w:tr>
        <w:tc>
          <w:tcPr>
            <w:tcW w:type="dxa" w:w="2500"/>
          </w:tcPr>
          <w:p>
            <w:r>
              <w:rPr>
                <w:b w:val="false"/>
                <w:bCs w:val="false"/>
                <w:color w:val="000000"/>
                <w:sz w:val="20"/>
                <w:szCs w:val="20"/>
              </w:rPr>
              <w:t xml:space="preserve">driver_experience_years</w:t>
            </w:r>
          </w:p>
        </w:tc>
        <w:tc>
          <w:tcPr>
            <w:tcW w:type="dxa" w:w="1500"/>
          </w:tcPr>
          <w:p>
            <w:r>
              <w:rPr>
                <w:b w:val="false"/>
                <w:bCs w:val="false"/>
                <w:color w:val="000000"/>
                <w:sz w:val="20"/>
                <w:szCs w:val="20"/>
              </w:rPr>
              <w:t xml:space="preserve">numeric</w:t>
            </w:r>
          </w:p>
        </w:tc>
        <w:tc>
          <w:tcPr>
            <w:tcW w:type="dxa" w:w="5500"/>
          </w:tcPr>
          <w:p>
            <w:r>
              <w:rPr>
                <w:b w:val="false"/>
                <w:bCs w:val="false"/>
                <w:color w:val="000000"/>
                <w:sz w:val="20"/>
                <w:szCs w:val="20"/>
              </w:rPr>
              <w:t xml:space="preserve">Years of driving experience</w:t>
            </w:r>
          </w:p>
        </w:tc>
      </w:tr>
      <w:tr>
        <w:tc>
          <w:tcPr>
            <w:tcW w:type="dxa" w:w="2500"/>
          </w:tcPr>
          <w:p>
            <w:r>
              <w:rPr>
                <w:b w:val="false"/>
                <w:bCs w:val="false"/>
                <w:color w:val="000000"/>
                <w:sz w:val="20"/>
                <w:szCs w:val="20"/>
              </w:rPr>
              <w:t xml:space="preserve">carrier</w:t>
            </w:r>
          </w:p>
        </w:tc>
        <w:tc>
          <w:tcPr>
            <w:tcW w:type="dxa" w:w="1500"/>
          </w:tcPr>
          <w:p>
            <w:r>
              <w:rPr>
                <w:b w:val="false"/>
                <w:bCs w:val="false"/>
                <w:color w:val="000000"/>
                <w:sz w:val="20"/>
                <w:szCs w:val="20"/>
              </w:rPr>
              <w:t xml:space="preserve">categorical</w:t>
            </w:r>
          </w:p>
        </w:tc>
        <w:tc>
          <w:tcPr>
            <w:tcW w:type="dxa" w:w="5500"/>
          </w:tcPr>
          <w:p>
            <w:r>
              <w:rPr>
                <w:b w:val="false"/>
                <w:bCs w:val="false"/>
                <w:color w:val="000000"/>
                <w:sz w:val="20"/>
                <w:szCs w:val="20"/>
              </w:rPr>
              <w:t xml:space="preserve">Logistics carrier</w:t>
            </w:r>
          </w:p>
        </w:tc>
      </w:tr>
      <w:tr>
        <w:tc>
          <w:tcPr>
            <w:tcW w:type="dxa" w:w="2500"/>
          </w:tcPr>
          <w:p>
            <w:r>
              <w:rPr>
                <w:b w:val="false"/>
                <w:bCs w:val="false"/>
                <w:color w:val="000000"/>
                <w:sz w:val="20"/>
                <w:szCs w:val="20"/>
              </w:rPr>
              <w:t xml:space="preserve">vehicle_type</w:t>
            </w:r>
          </w:p>
        </w:tc>
        <w:tc>
          <w:tcPr>
            <w:tcW w:type="dxa" w:w="1500"/>
          </w:tcPr>
          <w:p>
            <w:r>
              <w:rPr>
                <w:b w:val="false"/>
                <w:bCs w:val="false"/>
                <w:color w:val="000000"/>
                <w:sz w:val="20"/>
                <w:szCs w:val="20"/>
              </w:rPr>
              <w:t xml:space="preserve">categorical</w:t>
            </w:r>
          </w:p>
        </w:tc>
        <w:tc>
          <w:tcPr>
            <w:tcW w:type="dxa" w:w="5500"/>
          </w:tcPr>
          <w:p>
            <w:r>
              <w:rPr>
                <w:b w:val="false"/>
                <w:bCs w:val="false"/>
                <w:color w:val="000000"/>
                <w:sz w:val="20"/>
                <w:szCs w:val="20"/>
              </w:rPr>
              <w:t xml:space="preserve">Van / Truck / Mini-Truck / Bike</w:t>
            </w:r>
          </w:p>
        </w:tc>
      </w:tr>
      <w:tr>
        <w:tc>
          <w:tcPr>
            <w:tcW w:type="dxa" w:w="2500"/>
          </w:tcPr>
          <w:p>
            <w:r>
              <w:rPr>
                <w:b w:val="false"/>
                <w:bCs w:val="false"/>
                <w:color w:val="000000"/>
                <w:sz w:val="20"/>
                <w:szCs w:val="20"/>
              </w:rPr>
              <w:t xml:space="preserve">region_type</w:t>
            </w:r>
          </w:p>
        </w:tc>
        <w:tc>
          <w:tcPr>
            <w:tcW w:type="dxa" w:w="1500"/>
          </w:tcPr>
          <w:p>
            <w:r>
              <w:rPr>
                <w:b w:val="false"/>
                <w:bCs w:val="false"/>
                <w:color w:val="000000"/>
                <w:sz w:val="20"/>
                <w:szCs w:val="20"/>
              </w:rPr>
              <w:t xml:space="preserve">categorical</w:t>
            </w:r>
          </w:p>
        </w:tc>
        <w:tc>
          <w:tcPr>
            <w:tcW w:type="dxa" w:w="5500"/>
          </w:tcPr>
          <w:p>
            <w:r>
              <w:rPr>
                <w:b w:val="false"/>
                <w:bCs w:val="false"/>
                <w:color w:val="000000"/>
                <w:sz w:val="20"/>
                <w:szCs w:val="20"/>
              </w:rPr>
              <w:t xml:space="preserve">Urban / Suburban / Rural</w:t>
            </w:r>
          </w:p>
        </w:tc>
      </w:tr>
      <w:tr>
        <w:tc>
          <w:tcPr>
            <w:tcW w:type="dxa" w:w="2500"/>
          </w:tcPr>
          <w:p>
            <w:r>
              <w:rPr>
                <w:b w:val="false"/>
                <w:bCs w:val="false"/>
                <w:color w:val="000000"/>
                <w:sz w:val="20"/>
                <w:szCs w:val="20"/>
              </w:rPr>
              <w:t xml:space="preserve">weather</w:t>
            </w:r>
          </w:p>
        </w:tc>
        <w:tc>
          <w:tcPr>
            <w:tcW w:type="dxa" w:w="1500"/>
          </w:tcPr>
          <w:p>
            <w:r>
              <w:rPr>
                <w:b w:val="false"/>
                <w:bCs w:val="false"/>
                <w:color w:val="000000"/>
                <w:sz w:val="20"/>
                <w:szCs w:val="20"/>
              </w:rPr>
              <w:t xml:space="preserve">categorical</w:t>
            </w:r>
          </w:p>
        </w:tc>
        <w:tc>
          <w:tcPr>
            <w:tcW w:type="dxa" w:w="5500"/>
          </w:tcPr>
          <w:p>
            <w:r>
              <w:rPr>
                <w:b w:val="false"/>
                <w:bCs w:val="false"/>
                <w:color w:val="000000"/>
                <w:sz w:val="20"/>
                <w:szCs w:val="20"/>
              </w:rPr>
              <w:t xml:space="preserve">Clear / Rain / Fog / Storm</w:t>
            </w:r>
          </w:p>
        </w:tc>
      </w:tr>
      <w:tr>
        <w:tc>
          <w:tcPr>
            <w:tcW w:type="dxa" w:w="2500"/>
          </w:tcPr>
          <w:p>
            <w:r>
              <w:rPr>
                <w:b w:val="false"/>
                <w:bCs w:val="false"/>
                <w:color w:val="000000"/>
                <w:sz w:val="20"/>
                <w:szCs w:val="20"/>
              </w:rPr>
              <w:t xml:space="preserve">delivery_time_hours</w:t>
            </w:r>
          </w:p>
        </w:tc>
        <w:tc>
          <w:tcPr>
            <w:tcW w:type="dxa" w:w="1500"/>
          </w:tcPr>
          <w:p>
            <w:r>
              <w:rPr>
                <w:b w:val="false"/>
                <w:bCs w:val="false"/>
                <w:color w:val="000000"/>
                <w:sz w:val="20"/>
                <w:szCs w:val="20"/>
              </w:rPr>
              <w:t xml:space="preserve">numeric (target)</w:t>
            </w:r>
          </w:p>
        </w:tc>
        <w:tc>
          <w:tcPr>
            <w:tcW w:type="dxa" w:w="5500"/>
          </w:tcPr>
          <w:p>
            <w:r>
              <w:rPr>
                <w:b w:val="false"/>
                <w:bCs w:val="false"/>
                <w:color w:val="000000"/>
                <w:sz w:val="20"/>
                <w:szCs w:val="20"/>
              </w:rPr>
              <w:t xml:space="preserve">Total delivery time — the variable to forecast</w:t>
            </w:r>
          </w:p>
        </w:tc>
      </w:tr>
    </w:tbl>
    <w:p>
      <w:pPr>
        <w:spacing w:after="200"/>
      </w:pPr>
    </w:p>
    <w:p>
      <w:pPr>
        <w:pStyle w:val="Heading1"/>
        <w:spacing w:after="150" w:before="300"/>
      </w:pPr>
      <w:r>
        <w:t xml:space="preserve">3. Model Selection and Rationale</w:t>
      </w:r>
    </w:p>
    <w:p>
      <w:pPr>
        <w:spacing w:after="150"/>
      </w:pPr>
      <w:r>
        <w:t xml:space="preserve">Two models were selected to balance interpretability and predictive power:</w:t>
      </w:r>
    </w:p>
    <w:p>
      <w:pPr>
        <w:pStyle w:val="ListParagraph"/>
        <w:numPr>
          <w:ilvl w:val="0"/>
          <w:numId w:val="1"/>
        </w:numPr>
        <w:spacing w:after="60"/>
      </w:pPr>
      <w:r>
        <w:t xml:space="preserve">Linear Regression — a transparent baseline that quantifies the direction and approximate magnitude of each feature's effect on delivery time; useful for stakeholder communication and sanity-checking the ensemble model.</w:t>
      </w:r>
    </w:p>
    <w:p>
      <w:pPr>
        <w:pStyle w:val="ListParagraph"/>
        <w:numPr>
          <w:ilvl w:val="0"/>
          <w:numId w:val="1"/>
        </w:numPr>
        <w:spacing w:after="60"/>
      </w:pPr>
      <w:r>
        <w:t xml:space="preserve">Random Forest Regressor — an ensemble of decision trees capable of capturing non-linear interactions (e.g., how traffic and weather compound in urban regions) without manual feature engineering, and which additionally yields feature importance scores that directly inform the optimization recommendations in Section 6.</w:t>
      </w:r>
    </w:p>
    <w:p>
      <w:pPr>
        <w:spacing w:after="150"/>
      </w:pPr>
      <w:r>
        <w:t xml:space="preserve">Both models share the same preprocessing pipeline (median imputation for numeric features, most-frequent imputation and one-hot encoding for categoricals, standard scaling for numerics) so that performance differences reflect the modeling algorithm rather than data handling.</w:t>
      </w:r>
    </w:p>
    <w:p>
      <w:pPr>
        <w:pStyle w:val="Heading1"/>
        <w:spacing w:after="150" w:before="300"/>
      </w:pPr>
      <w:r>
        <w:t xml:space="preserve">4. Implementation</w:t>
      </w:r>
    </w:p>
    <w:p>
      <w:pPr>
        <w:pStyle w:val="Heading2"/>
        <w:spacing w:after="100" w:before="200"/>
      </w:pPr>
      <w:r>
        <w:t xml:space="preserve">4.1 Data Preparation Pipeline</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numeric_features = ['distance_km', 'weight_kg', 'num_stops',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'traffic_index', 'driver_experience_years']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categorical_features = ['carrier', 'vehicle_type',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'region_type', 'weather']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numeric_pipeline = Pipeline([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('impute', SimpleImputer(strategy='median')),</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('scale', StandardScaler()),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categorical_pipeline = Pipeline([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('impute', SimpleImputer(strategy='most_frequent')),</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('onehot', OneHotEncoder(handle_unknown='ignore')),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preprocessor = ColumnTransformer([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('num', numeric_pipeline, numeric_features),</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('cat', categorical_pipeline, categorical_features),</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w:t>
      </w:r>
    </w:p>
    <w:p>
      <w:pPr>
        <w:spacing w:after="200"/>
      </w:pPr>
    </w:p>
    <w:p>
      <w:pPr>
        <w:pStyle w:val="Heading2"/>
        <w:spacing w:after="100" w:before="200"/>
      </w:pPr>
      <w:r>
        <w:t xml:space="preserve">4.2 Train/Test Split and Baseline Model</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X_train, X_test, y_train, y_test = train_test_split(</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X, y, test_size=0.2, random_state=42</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lr_pipeline = Pipeline([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('prep', preprocessor),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('model', LinearRegression()),</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lr_pipeline.fit(X_train, y_train)</w:t>
      </w:r>
    </w:p>
    <w:p>
      <w:pPr>
        <w:spacing w:after="200"/>
      </w:pPr>
    </w:p>
    <w:p>
      <w:pPr>
        <w:pStyle w:val="Heading2"/>
        <w:spacing w:after="100" w:before="200"/>
      </w:pPr>
      <w:r>
        <w:t xml:space="preserve">4.3 Ensemble Model with Hyperparameter Tuning</w:t>
      </w:r>
    </w:p>
    <w:p>
      <w:pPr>
        <w:pBdr>
          <w:top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rf_pipeline = Pipeline([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('prep', preprocessor),</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('model', RandomForestRegressor(random_state=42)),</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param_grid = {</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'model__n_estimators': [100, 200],</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'model__max_depth': [None, 8, 12],</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'model__min_samples_leaf': [1, 3],</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cv = KFold(n_splits=5, shuffle=True, random_state=42)</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grid_search = GridSearchCV(</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rf_pipeline, param_grid, cv=cv,</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    scoring='neg_root_mean_squared_error', n_jobs=-1,</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w:t>
      </w:r>
    </w:p>
    <w:p>
      <w:pPr>
        <w:pBdr>
          <w:left w:val="single" w:color="CCCCCC" w:sz="2"/>
          <w:right w:val="single" w:color="CCCCCC" w:sz="2"/>
        </w:pBdr>
        <w:shd w:fill="F2F2F2" w:val="clear"/>
        <w:spacing w:after="0" w:before="0"/>
      </w:pPr>
      <w:r>
        <w:rPr>
          <w:rFonts w:ascii="Consolas" w:cs="Consolas" w:eastAsia="Consolas" w:hAnsi="Consolas"/>
          <w:sz w:val="18"/>
          <w:szCs w:val="18"/>
        </w:rPr>
        <w:t xml:space="preserve">grid_search.fit(X_train, y_train)</w:t>
      </w:r>
    </w:p>
    <w:p>
      <w:pPr>
        <w:pBdr>
          <w:bottom w:val="single" w:color="CCCCCC" w:sz="2"/>
          <w:left w:val="single" w:color="CCCCCC" w:sz="2"/>
          <w:right w:val="single" w:color="CCCCCC" w:sz="2"/>
        </w:pBdr>
        <w:shd w:fill="F2F2F2" w:val="clear"/>
        <w:spacing w:after="0" w:before="0"/>
      </w:pPr>
      <w:r>
        <w:rPr>
          <w:rFonts w:ascii="Consolas" w:cs="Consolas" w:eastAsia="Consolas" w:hAnsi="Consolas"/>
          <w:sz w:val="18"/>
          <w:szCs w:val="18"/>
        </w:rPr>
        <w:t xml:space="preserve">best_rf = grid_search.best_estimator_</w:t>
      </w:r>
    </w:p>
    <w:p>
      <w:pPr>
        <w:spacing w:after="200"/>
      </w:pPr>
    </w:p>
    <w:p>
      <w:pPr>
        <w:pStyle w:val="Heading1"/>
        <w:spacing w:after="150" w:before="300"/>
      </w:pPr>
      <w:r>
        <w:t xml:space="preserve">5. Evaluation and Validation</w:t>
      </w:r>
    </w:p>
    <w:p>
      <w:pPr>
        <w:spacing w:after="150"/>
      </w:pPr>
      <w:r>
        <w:t xml:space="preserve">Models were evaluated on a held-out 20% test split using three complementary metrics: RMSE (penalizes large errors, same units as the target), MAE (average absolute error, more robust to outliers), and R² (proportion of variance explained). The tuned Random Forest was additionally validated with 5-fold cross-validation on the training set to check that its performance generalizes and is not an artifact of a single split.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c>
          <w:tcPr>
            <w:tcW w:type="dxa" w:w="3200"/>
            <w:shd w:fill="2F5496" w:val="clear"/>
          </w:tcPr>
          <w:p>
            <w:r>
              <w:rPr>
                <w:b/>
                <w:bCs/>
                <w:color w:val="FFFFFF"/>
                <w:sz w:val="20"/>
                <w:szCs w:val="20"/>
              </w:rPr>
              <w:t xml:space="preserve">Model</w:t>
            </w:r>
          </w:p>
        </w:tc>
        <w:tc>
          <w:tcPr>
            <w:tcW w:type="dxa" w:w="2000"/>
            <w:shd w:fill="2F5496" w:val="clear"/>
          </w:tcPr>
          <w:p>
            <w:r>
              <w:rPr>
                <w:b/>
                <w:bCs/>
                <w:color w:val="FFFFFF"/>
                <w:sz w:val="20"/>
                <w:szCs w:val="20"/>
              </w:rPr>
              <w:t xml:space="preserve">RMSE (hrs)</w:t>
            </w:r>
          </w:p>
        </w:tc>
        <w:tc>
          <w:tcPr>
            <w:tcW w:type="dxa" w:w="2000"/>
            <w:shd w:fill="2F5496" w:val="clear"/>
          </w:tcPr>
          <w:p>
            <w:r>
              <w:rPr>
                <w:b/>
                <w:bCs/>
                <w:color w:val="FFFFFF"/>
                <w:sz w:val="20"/>
                <w:szCs w:val="20"/>
              </w:rPr>
              <w:t xml:space="preserve">MAE (hrs)</w:t>
            </w:r>
          </w:p>
        </w:tc>
        <w:tc>
          <w:tcPr>
            <w:tcW w:type="dxa" w:w="2000"/>
            <w:shd w:fill="2F5496" w:val="clear"/>
          </w:tcPr>
          <w:p>
            <w:r>
              <w:rPr>
                <w:b/>
                <w:bCs/>
                <w:color w:val="FFFFFF"/>
                <w:sz w:val="20"/>
                <w:szCs w:val="20"/>
              </w:rPr>
              <w:t xml:space="preserve">R²</w:t>
            </w:r>
          </w:p>
        </w:tc>
      </w:tr>
      <w:tr>
        <w:tc>
          <w:tcPr>
            <w:tcW w:type="dxa" w:w="3200"/>
          </w:tcPr>
          <w:p>
            <w:r>
              <w:rPr>
                <w:b w:val="false"/>
                <w:bCs w:val="false"/>
                <w:color w:val="000000"/>
                <w:sz w:val="20"/>
                <w:szCs w:val="20"/>
              </w:rPr>
              <w:t xml:space="preserve">Linear Regression (baseline)</w:t>
            </w:r>
          </w:p>
        </w:tc>
        <w:tc>
          <w:tcPr>
            <w:tcW w:type="dxa" w:w="2000"/>
          </w:tcPr>
          <w:p>
            <w:r>
              <w:rPr>
                <w:b w:val="false"/>
                <w:bCs w:val="false"/>
                <w:color w:val="000000"/>
                <w:sz w:val="20"/>
                <w:szCs w:val="20"/>
              </w:rPr>
              <w:t xml:space="preserve">1.30</w:t>
            </w:r>
          </w:p>
        </w:tc>
        <w:tc>
          <w:tcPr>
            <w:tcW w:type="dxa" w:w="2000"/>
          </w:tcPr>
          <w:p>
            <w:r>
              <w:rPr>
                <w:b w:val="false"/>
                <w:bCs w:val="false"/>
                <w:color w:val="000000"/>
                <w:sz w:val="20"/>
                <w:szCs w:val="20"/>
              </w:rPr>
              <w:t xml:space="preserve">1.02</w:t>
            </w:r>
          </w:p>
        </w:tc>
        <w:tc>
          <w:tcPr>
            <w:tcW w:type="dxa" w:w="2000"/>
          </w:tcPr>
          <w:p>
            <w:r>
              <w:rPr>
                <w:b w:val="false"/>
                <w:bCs w:val="false"/>
                <w:color w:val="000000"/>
                <w:sz w:val="20"/>
                <w:szCs w:val="20"/>
              </w:rPr>
              <w:t xml:space="preserve">0.86</w:t>
            </w:r>
          </w:p>
        </w:tc>
      </w:tr>
      <w:tr>
        <w:tc>
          <w:tcPr>
            <w:tcW w:type="dxa" w:w="3200"/>
          </w:tcPr>
          <w:p>
            <w:r>
              <w:rPr>
                <w:b w:val="false"/>
                <w:bCs w:val="false"/>
                <w:color w:val="000000"/>
                <w:sz w:val="20"/>
                <w:szCs w:val="20"/>
              </w:rPr>
              <w:t xml:space="preserve">Random Forest (GridSearchCV-tuned)</w:t>
            </w:r>
          </w:p>
        </w:tc>
        <w:tc>
          <w:tcPr>
            <w:tcW w:type="dxa" w:w="2000"/>
          </w:tcPr>
          <w:p>
            <w:r>
              <w:rPr>
                <w:b w:val="false"/>
                <w:bCs w:val="false"/>
                <w:color w:val="000000"/>
                <w:sz w:val="20"/>
                <w:szCs w:val="20"/>
              </w:rPr>
              <w:t xml:space="preserve">1.45</w:t>
            </w:r>
          </w:p>
        </w:tc>
        <w:tc>
          <w:tcPr>
            <w:tcW w:type="dxa" w:w="2000"/>
          </w:tcPr>
          <w:p>
            <w:r>
              <w:rPr>
                <w:b w:val="false"/>
                <w:bCs w:val="false"/>
                <w:color w:val="000000"/>
                <w:sz w:val="20"/>
                <w:szCs w:val="20"/>
              </w:rPr>
              <w:t xml:space="preserve">1.17</w:t>
            </w:r>
          </w:p>
        </w:tc>
        <w:tc>
          <w:tcPr>
            <w:tcW w:type="dxa" w:w="2000"/>
          </w:tcPr>
          <w:p>
            <w:r>
              <w:rPr>
                <w:b w:val="false"/>
                <w:bCs w:val="false"/>
                <w:color w:val="000000"/>
                <w:sz w:val="20"/>
                <w:szCs w:val="20"/>
              </w:rPr>
              <w:t xml:space="preserve">0.83</w:t>
            </w:r>
          </w:p>
        </w:tc>
      </w:tr>
    </w:tbl>
    <w:p>
      <w:pPr>
        <w:spacing w:after="200"/>
      </w:pPr>
    </w:p>
    <w:p>
      <w:pPr>
        <w:spacing w:after="150"/>
      </w:pPr>
      <w:r>
        <w:t xml:space="preserve">Best hyperparameters found via grid search: n_estimators=200, max_depth=None, min_samples_leaf=1. The tuned Random Forest's 5-fold cross-validated RMSE on the training data was 1.73 ± 0.06 hours, consistent with (slightly more conservative than) its held-out test RMSE, indicating stable, non-overfit performance.</w:t>
      </w:r>
    </w:p>
    <w:p>
      <w:pPr>
        <w:spacing w:after="150"/>
      </w:pPr>
      <w:r>
        <w:t xml:space="preserve">Notably, the simpler Linear Regression baseline slightly outperformed the Random Forest on this dataset (lower RMSE/MAE, higher R²). This is a realistic and informative outcome: because delivery time was generated from largely additive/multiplicative relationships between distance, traffic, and weather, a linear model captures the dominant structure efficiently, while the Random Forest's added flexibility mainly fits noise on a moderately sized (600-row) dataset. In practice, both models are reported; the Random Forest is retained for the feature-importance insights below, and the Linear Regression is recommended as the production baseline given its equal-or-better accuracy and greater interpretability.</w:t>
      </w:r>
    </w:p>
    <w:p>
      <w:pPr>
        <w:pStyle w:val="Heading1"/>
        <w:spacing w:after="150" w:before="300"/>
      </w:pPr>
      <w:r>
        <w:t xml:space="preserve">6. Feature Importance and Optimization Strategies</w:t>
      </w:r>
    </w:p>
    <w:p>
      <w:pPr>
        <w:spacing w:after="150"/>
      </w:pPr>
      <w:r>
        <w:t xml:space="preserve">The Random Forest's feature importances rank the operational factors with the greatest influence on delivery time, providing a data-driven basis for optimization: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200"/>
      </w:tblGrid>
      <w:tr>
        <w:tc>
          <w:tcPr>
            <w:tcW w:type="dxa" w:w="2500"/>
            <w:shd w:fill="2F5496" w:val="clear"/>
          </w:tcPr>
          <w:p>
            <w:r>
              <w:rPr>
                <w:b/>
                <w:bCs/>
                <w:color w:val="FFFFFF"/>
                <w:sz w:val="20"/>
                <w:szCs w:val="20"/>
              </w:rPr>
              <w:t xml:space="preserve">Feature</w:t>
            </w:r>
          </w:p>
        </w:tc>
        <w:tc>
          <w:tcPr>
            <w:tcW w:type="dxa" w:w="1800"/>
            <w:shd w:fill="2F5496" w:val="clear"/>
          </w:tcPr>
          <w:p>
            <w:r>
              <w:rPr>
                <w:b/>
                <w:bCs/>
                <w:color w:val="FFFFFF"/>
                <w:sz w:val="20"/>
                <w:szCs w:val="20"/>
              </w:rPr>
              <w:t xml:space="preserve">Importance</w:t>
            </w:r>
          </w:p>
        </w:tc>
        <w:tc>
          <w:tcPr>
            <w:tcW w:type="dxa" w:w="5200"/>
            <w:shd w:fill="2F5496" w:val="clear"/>
          </w:tcPr>
          <w:p>
            <w:r>
              <w:rPr>
                <w:b/>
                <w:bCs/>
                <w:color w:val="FFFFFF"/>
                <w:sz w:val="20"/>
                <w:szCs w:val="20"/>
              </w:rPr>
              <w:t xml:space="preserve">Operational Interpretation</w:t>
            </w:r>
          </w:p>
        </w:tc>
      </w:tr>
      <w:tr>
        <w:tc>
          <w:tcPr>
            <w:tcW w:type="dxa" w:w="2500"/>
          </w:tcPr>
          <w:p>
            <w:r>
              <w:rPr>
                <w:b w:val="false"/>
                <w:bCs w:val="false"/>
                <w:color w:val="000000"/>
                <w:sz w:val="20"/>
                <w:szCs w:val="20"/>
              </w:rPr>
              <w:t xml:space="preserve">distance_km</w:t>
            </w:r>
          </w:p>
        </w:tc>
        <w:tc>
          <w:tcPr>
            <w:tcW w:type="dxa" w:w="1800"/>
          </w:tcPr>
          <w:p>
            <w:r>
              <w:rPr>
                <w:b w:val="false"/>
                <w:bCs w:val="false"/>
                <w:color w:val="000000"/>
                <w:sz w:val="20"/>
                <w:szCs w:val="20"/>
              </w:rPr>
              <w:t xml:space="preserve">0.52</w:t>
            </w:r>
          </w:p>
        </w:tc>
        <w:tc>
          <w:tcPr>
            <w:tcW w:type="dxa" w:w="5200"/>
          </w:tcPr>
          <w:p>
            <w:r>
              <w:rPr>
                <w:b w:val="false"/>
                <w:bCs w:val="false"/>
                <w:color w:val="000000"/>
                <w:sz w:val="20"/>
                <w:szCs w:val="20"/>
              </w:rPr>
              <w:t xml:space="preserve">By far the dominant driver — route/distance efficiency has the largest leverage on delivery time</w:t>
            </w:r>
          </w:p>
        </w:tc>
      </w:tr>
      <w:tr>
        <w:tc>
          <w:tcPr>
            <w:tcW w:type="dxa" w:w="2500"/>
          </w:tcPr>
          <w:p>
            <w:r>
              <w:rPr>
                <w:b w:val="false"/>
                <w:bCs w:val="false"/>
                <w:color w:val="000000"/>
                <w:sz w:val="20"/>
                <w:szCs w:val="20"/>
              </w:rPr>
              <w:t xml:space="preserve">weather = Clear</w:t>
            </w:r>
          </w:p>
        </w:tc>
        <w:tc>
          <w:tcPr>
            <w:tcW w:type="dxa" w:w="1800"/>
          </w:tcPr>
          <w:p>
            <w:r>
              <w:rPr>
                <w:b w:val="false"/>
                <w:bCs w:val="false"/>
                <w:color w:val="000000"/>
                <w:sz w:val="20"/>
                <w:szCs w:val="20"/>
              </w:rPr>
              <w:t xml:space="preserve">0.19</w:t>
            </w:r>
          </w:p>
        </w:tc>
        <w:tc>
          <w:tcPr>
            <w:tcW w:type="dxa" w:w="5200"/>
          </w:tcPr>
          <w:p>
            <w:r>
              <w:rPr>
                <w:b w:val="false"/>
                <w:bCs w:val="false"/>
                <w:color w:val="000000"/>
                <w:sz w:val="20"/>
                <w:szCs w:val="20"/>
              </w:rPr>
              <w:t xml:space="preserve">Weather conditions substantially shift expected delivery time</w:t>
            </w:r>
          </w:p>
        </w:tc>
      </w:tr>
      <w:tr>
        <w:tc>
          <w:tcPr>
            <w:tcW w:type="dxa" w:w="2500"/>
          </w:tcPr>
          <w:p>
            <w:r>
              <w:rPr>
                <w:b w:val="false"/>
                <w:bCs w:val="false"/>
                <w:color w:val="000000"/>
                <w:sz w:val="20"/>
                <w:szCs w:val="20"/>
              </w:rPr>
              <w:t xml:space="preserve">traffic_index</w:t>
            </w:r>
          </w:p>
        </w:tc>
        <w:tc>
          <w:tcPr>
            <w:tcW w:type="dxa" w:w="1800"/>
          </w:tcPr>
          <w:p>
            <w:r>
              <w:rPr>
                <w:b w:val="false"/>
                <w:bCs w:val="false"/>
                <w:color w:val="000000"/>
                <w:sz w:val="20"/>
                <w:szCs w:val="20"/>
              </w:rPr>
              <w:t xml:space="preserve">0.06</w:t>
            </w:r>
          </w:p>
        </w:tc>
        <w:tc>
          <w:tcPr>
            <w:tcW w:type="dxa" w:w="5200"/>
          </w:tcPr>
          <w:p>
            <w:r>
              <w:rPr>
                <w:b w:val="false"/>
                <w:bCs w:val="false"/>
                <w:color w:val="000000"/>
                <w:sz w:val="20"/>
                <w:szCs w:val="20"/>
              </w:rPr>
              <w:t xml:space="preserve">Congestion adds meaningful, predictable delay</w:t>
            </w:r>
          </w:p>
        </w:tc>
      </w:tr>
      <w:tr>
        <w:tc>
          <w:tcPr>
            <w:tcW w:type="dxa" w:w="2500"/>
          </w:tcPr>
          <w:p>
            <w:r>
              <w:rPr>
                <w:b w:val="false"/>
                <w:bCs w:val="false"/>
                <w:color w:val="000000"/>
                <w:sz w:val="20"/>
                <w:szCs w:val="20"/>
              </w:rPr>
              <w:t xml:space="preserve">num_stops</w:t>
            </w:r>
          </w:p>
        </w:tc>
        <w:tc>
          <w:tcPr>
            <w:tcW w:type="dxa" w:w="1800"/>
          </w:tcPr>
          <w:p>
            <w:r>
              <w:rPr>
                <w:b w:val="false"/>
                <w:bCs w:val="false"/>
                <w:color w:val="000000"/>
                <w:sz w:val="20"/>
                <w:szCs w:val="20"/>
              </w:rPr>
              <w:t xml:space="preserve">0.04</w:t>
            </w:r>
          </w:p>
        </w:tc>
        <w:tc>
          <w:tcPr>
            <w:tcW w:type="dxa" w:w="5200"/>
          </w:tcPr>
          <w:p>
            <w:r>
              <w:rPr>
                <w:b w:val="false"/>
                <w:bCs w:val="false"/>
                <w:color w:val="000000"/>
                <w:sz w:val="20"/>
                <w:szCs w:val="20"/>
              </w:rPr>
              <w:t xml:space="preserve">Each additional stop adds incremental time</w:t>
            </w:r>
          </w:p>
        </w:tc>
      </w:tr>
      <w:tr>
        <w:tc>
          <w:tcPr>
            <w:tcW w:type="dxa" w:w="2500"/>
          </w:tcPr>
          <w:p>
            <w:r>
              <w:rPr>
                <w:b w:val="false"/>
                <w:bCs w:val="false"/>
                <w:color w:val="000000"/>
                <w:sz w:val="20"/>
                <w:szCs w:val="20"/>
              </w:rPr>
              <w:t xml:space="preserve">weight_kg</w:t>
            </w:r>
          </w:p>
        </w:tc>
        <w:tc>
          <w:tcPr>
            <w:tcW w:type="dxa" w:w="1800"/>
          </w:tcPr>
          <w:p>
            <w:r>
              <w:rPr>
                <w:b w:val="false"/>
                <w:bCs w:val="false"/>
                <w:color w:val="000000"/>
                <w:sz w:val="20"/>
                <w:szCs w:val="20"/>
              </w:rPr>
              <w:t xml:space="preserve">0.04</w:t>
            </w:r>
          </w:p>
        </w:tc>
        <w:tc>
          <w:tcPr>
            <w:tcW w:type="dxa" w:w="5200"/>
          </w:tcPr>
          <w:p>
            <w:r>
              <w:rPr>
                <w:b w:val="false"/>
                <w:bCs w:val="false"/>
                <w:color w:val="000000"/>
                <w:sz w:val="20"/>
                <w:szCs w:val="20"/>
              </w:rPr>
              <w:t xml:space="preserve">Heavier shipments modestly slow delivery</w:t>
            </w:r>
          </w:p>
        </w:tc>
      </w:tr>
      <w:tr>
        <w:tc>
          <w:tcPr>
            <w:tcW w:type="dxa" w:w="2500"/>
          </w:tcPr>
          <w:p>
            <w:r>
              <w:rPr>
                <w:b w:val="false"/>
                <w:bCs w:val="false"/>
                <w:color w:val="000000"/>
                <w:sz w:val="20"/>
                <w:szCs w:val="20"/>
              </w:rPr>
              <w:t xml:space="preserve">driver_experience_years</w:t>
            </w:r>
          </w:p>
        </w:tc>
        <w:tc>
          <w:tcPr>
            <w:tcW w:type="dxa" w:w="1800"/>
          </w:tcPr>
          <w:p>
            <w:r>
              <w:rPr>
                <w:b w:val="false"/>
                <w:bCs w:val="false"/>
                <w:color w:val="000000"/>
                <w:sz w:val="20"/>
                <w:szCs w:val="20"/>
              </w:rPr>
              <w:t xml:space="preserve">0.03</w:t>
            </w:r>
          </w:p>
        </w:tc>
        <w:tc>
          <w:tcPr>
            <w:tcW w:type="dxa" w:w="5200"/>
          </w:tcPr>
          <w:p>
            <w:r>
              <w:rPr>
                <w:b w:val="false"/>
                <w:bCs w:val="false"/>
                <w:color w:val="000000"/>
                <w:sz w:val="20"/>
                <w:szCs w:val="20"/>
              </w:rPr>
              <w:t xml:space="preserve">More experienced drivers deliver marginally faster</w:t>
            </w:r>
          </w:p>
        </w:tc>
      </w:tr>
    </w:tbl>
    <w:p>
      <w:pPr>
        <w:spacing w:after="200"/>
      </w:pPr>
    </w:p>
    <w:p>
      <w:pPr>
        <w:pStyle w:val="Heading2"/>
        <w:spacing w:after="100" w:before="200"/>
      </w:pPr>
      <w:r>
        <w:t xml:space="preserve">6.1 Route and Distance Optimization</w:t>
      </w:r>
    </w:p>
    <w:p>
      <w:pPr>
        <w:spacing w:after="150"/>
      </w:pPr>
      <w:r>
        <w:t xml:space="preserve">Since distance is the single largest driver of delivery time, prioritize route-optimization algorithms (e.g., shortest-path / vehicle routing problem solvers) and warehouse or micro-hub placement that reduces average last-mile distance. Even small reductions in distance yield outsized reductions in delivery time relative to other levers.</w:t>
      </w:r>
    </w:p>
    <w:p>
      <w:pPr>
        <w:pStyle w:val="Heading2"/>
        <w:spacing w:after="100" w:before="200"/>
      </w:pPr>
      <w:r>
        <w:t xml:space="preserve">6.2 Weather-Aware Scheduling</w:t>
      </w:r>
    </w:p>
    <w:p>
      <w:pPr>
        <w:spacing w:after="150"/>
      </w:pPr>
      <w:r>
        <w:t xml:space="preserve">Given weather's large importance, incorporate live weather forecasts into dispatch planning: proactively pad ETAs and reschedule non-urgent shipments ahead of forecast storms/fog rather than reacting after delays occur.</w:t>
      </w:r>
    </w:p>
    <w:p>
      <w:pPr>
        <w:pStyle w:val="Heading2"/>
        <w:spacing w:after="100" w:before="200"/>
      </w:pPr>
      <w:r>
        <w:t xml:space="preserve">6.3 Traffic-Aware Dispatch and Resource Allocation</w:t>
      </w:r>
    </w:p>
    <w:p>
      <w:pPr>
        <w:spacing w:after="150"/>
      </w:pPr>
      <w:r>
        <w:t xml:space="preserve">Use the traffic_index feature (or a live traffic API) to shift dispatch windows earlier or reroute vehicles away from predicted congestion peaks, and to allocate more vehicles/drivers to routes serving high-traffic urban zones during peak hours.</w:t>
      </w:r>
    </w:p>
    <w:p>
      <w:pPr>
        <w:pStyle w:val="Heading2"/>
        <w:spacing w:after="100" w:before="200"/>
      </w:pPr>
      <w:r>
        <w:t xml:space="preserve">6.4 Stop Sequencing and Load Planning</w:t>
      </w:r>
    </w:p>
    <w:p>
      <w:pPr>
        <w:spacing w:after="150"/>
      </w:pPr>
      <w:r>
        <w:t xml:space="preserve">Because each additional stop and each kilogram of weight adds measurable time, apply stop-sequencing optimization (e.g., nearest-neighbor or 2-opt heuristics) to minimize total route distance for multi-stop deliveries, and balance load weight across vehicles to avoid single heavily-loaded, slow-moving routes.</w:t>
      </w:r>
    </w:p>
    <w:p>
      <w:pPr>
        <w:pStyle w:val="Heading2"/>
        <w:spacing w:after="100" w:before="200"/>
      </w:pPr>
      <w:r>
        <w:t xml:space="preserve">6.5 Driver Assignment</w:t>
      </w:r>
    </w:p>
    <w:p>
      <w:pPr>
        <w:spacing w:after="150"/>
      </w:pPr>
      <w:r>
        <w:t xml:space="preserve">Although a smaller effect, assigning more experienced drivers to the most time-sensitive or complex (high-stop, high-traffic) routes can shave incremental time off the shipments where it matters most.</w:t>
      </w:r>
    </w:p>
    <w:p>
      <w:pPr>
        <w:pStyle w:val="Heading1"/>
        <w:spacing w:after="150" w:before="300"/>
      </w:pPr>
      <w:r>
        <w:t xml:space="preserve">7. Recommendations Summary</w:t>
      </w:r>
    </w:p>
    <w:p>
      <w:pPr>
        <w:pStyle w:val="ListParagraph"/>
        <w:numPr>
          <w:ilvl w:val="0"/>
          <w:numId w:val="1"/>
        </w:numPr>
        <w:spacing w:after="60"/>
      </w:pPr>
      <w:r>
        <w:t xml:space="preserve">Deploy the Linear Regression model as the production ETA baseline — it matches or exceeds the Random Forest's accuracy while remaining interpretable for operations teams.</w:t>
      </w:r>
    </w:p>
    <w:p>
      <w:pPr>
        <w:pStyle w:val="ListParagraph"/>
        <w:numPr>
          <w:ilvl w:val="0"/>
          <w:numId w:val="1"/>
        </w:numPr>
        <w:spacing w:after="60"/>
      </w:pPr>
      <w:r>
        <w:t xml:space="preserve">Retain the Random Forest as a diagnostic tool for feature-importance analysis and periodically retrain both models as more delivery data accumulates.</w:t>
      </w:r>
    </w:p>
    <w:p>
      <w:pPr>
        <w:pStyle w:val="ListParagraph"/>
        <w:numPr>
          <w:ilvl w:val="0"/>
          <w:numId w:val="1"/>
        </w:numPr>
        <w:spacing w:after="60"/>
      </w:pPr>
      <w:r>
        <w:t xml:space="preserve">Prioritize route/distance optimization and micro-hub placement as the highest-leverage operational investment.</w:t>
      </w:r>
    </w:p>
    <w:p>
      <w:pPr>
        <w:pStyle w:val="ListParagraph"/>
        <w:numPr>
          <w:ilvl w:val="0"/>
          <w:numId w:val="1"/>
        </w:numPr>
        <w:spacing w:after="60"/>
      </w:pPr>
      <w:r>
        <w:t xml:space="preserve">Integrate live weather and traffic feeds into dispatch decisions, not just historical averages.</w:t>
      </w:r>
    </w:p>
    <w:p>
      <w:pPr>
        <w:pStyle w:val="ListParagraph"/>
        <w:numPr>
          <w:ilvl w:val="0"/>
          <w:numId w:val="1"/>
        </w:numPr>
        <w:spacing w:after="60"/>
      </w:pPr>
      <w:r>
        <w:t xml:space="preserve">Apply stop-sequencing and load-balancing optimization for multi-stop routes.</w:t>
      </w:r>
    </w:p>
    <w:p>
      <w:pPr>
        <w:pStyle w:val="Heading1"/>
        <w:spacing w:after="150" w:before="300"/>
      </w:pPr>
      <w:r>
        <w:t xml:space="preserve">8. Deliverables Summary</w:t>
      </w:r>
    </w:p>
    <w:p>
      <w:pPr>
        <w:pStyle w:val="ListParagraph"/>
        <w:numPr>
          <w:ilvl w:val="0"/>
          <w:numId w:val="1"/>
        </w:numPr>
        <w:spacing w:after="60"/>
      </w:pPr>
      <w:r>
        <w:t xml:space="preserve">Simulated dataset: data/logistics_delivery_dataset.csv</w:t>
      </w:r>
    </w:p>
    <w:p>
      <w:pPr>
        <w:pStyle w:val="ListParagraph"/>
        <w:numPr>
          <w:ilvl w:val="0"/>
          <w:numId w:val="1"/>
        </w:numPr>
        <w:spacing w:after="60"/>
      </w:pPr>
      <w:r>
        <w:t xml:space="preserve">Modeling pipeline: src/train_model.py</w:t>
      </w:r>
    </w:p>
    <w:p>
      <w:pPr>
        <w:pStyle w:val="ListParagraph"/>
        <w:numPr>
          <w:ilvl w:val="0"/>
          <w:numId w:val="1"/>
        </w:numPr>
        <w:spacing w:after="60"/>
      </w:pPr>
      <w:r>
        <w:t xml:space="preserve">Generated metrics: data/model_metrics.json</w:t>
      </w:r>
    </w:p>
    <w:p>
      <w:pPr>
        <w:pStyle w:val="ListParagraph"/>
        <w:numPr>
          <w:ilvl w:val="0"/>
          <w:numId w:val="1"/>
        </w:numPr>
        <w:spacing w:after="60"/>
      </w:pPr>
      <w:r>
        <w:t xml:space="preserve">This report: docs/Logistics_Predictive_Modeling_Report.docx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2026-09-12T13:35:02.901Z</dcterms:created>
  <dcterms:modified xsi:type="dcterms:W3CDTF">2026-09-12T13:35:02.932Z</dcterms:modified>
</cp:coreProperties>
</file>

<file path=docProps/custom.xml><?xml version="1.0" encoding="utf-8"?>
<Properties xmlns="http://schemas.openxmlformats.org/officeDocument/2006/custom-properties" xmlns:vt="http://schemas.openxmlformats.org/officeDocument/2006/docPropsVTypes"/>
</file>