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r>
              <w:t>v0.5.3</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r>
              <w:t>26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r>
              <w:t>avance-014</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p>
      <w:r>
        <w:br w:type="page"/>
      </w:r>
    </w:p>
    <w:p>
      <w:pPr>
        <w:pStyle w:val="Heading1"/>
      </w:pPr>
      <w:r>
        <w:t>Monitoreo operativo del servidor</w:t>
      </w:r>
    </w:p>
    <w:p>
      <w:r>
        <w:t>Avance 013 de la version v0.5.2, registrado el 26 de septiembre de 2026. El backend permite detectar errores y lentitud mediante registros de solicitudes y estadisticas del proceso. No cambia las pantallas ni contrata servicios. Las 42 pruebas automatizadas pasaron, incluidas ocho nuevas de monitoreo.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Dato operativo</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Para que sirve</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Identificador</w:t>
            </w:r>
          </w:p>
        </w:tc>
        <w:tc>
          <w:tcPr>
            <w:tcW w:type="dxa" w:w="7560"/>
            <w:vAlign w:val="center"/>
            <w:tcMar>
              <w:top w:w="120" w:type="dxa"/>
              <w:start w:w="140" w:type="dxa"/>
              <w:bottom w:w="120" w:type="dxa"/>
              <w:end w:w="140" w:type="dxa"/>
            </w:tcMar>
            <w:shd w:fill="FFFFFF"/>
          </w:tcPr>
          <w:p>
            <w:pPr>
              <w:spacing w:after="0"/>
            </w:pPr>
            <w:r>
              <w:rPr>
                <w:rFonts w:ascii="Arial" w:hAnsi="Arial"/>
                <w:sz w:val="18"/>
              </w:rPr>
              <w:t>Cada respuesta devuelve X-Request-Id para localizar su registro.</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Solicitudes</w:t>
            </w:r>
          </w:p>
        </w:tc>
        <w:tc>
          <w:tcPr>
            <w:tcW w:type="dxa" w:w="7560"/>
            <w:vAlign w:val="center"/>
            <w:tcMar>
              <w:top w:w="120" w:type="dxa"/>
              <w:start w:w="140" w:type="dxa"/>
              <w:bottom w:w="120" w:type="dxa"/>
              <w:end w:w="140" w:type="dxa"/>
            </w:tcMar>
            <w:shd w:fill="EEF3F8"/>
          </w:tcPr>
          <w:p>
            <w:pPr>
              <w:spacing w:after="0"/>
            </w:pPr>
            <w:r>
              <w:rPr>
                <w:rFonts w:ascii="Arial" w:hAnsi="Arial"/>
                <w:sz w:val="18"/>
              </w:rPr>
              <w:t>Cuenta respuestas completadas, errores por clase, solicitudes activas y abortos.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Duraciones</w:t>
            </w:r>
          </w:p>
        </w:tc>
        <w:tc>
          <w:tcPr>
            <w:tcW w:type="dxa" w:w="7560"/>
            <w:vAlign w:val="center"/>
            <w:tcMar>
              <w:top w:w="120" w:type="dxa"/>
              <w:start w:w="140" w:type="dxa"/>
              <w:bottom w:w="120" w:type="dxa"/>
              <w:end w:w="140" w:type="dxa"/>
            </w:tcMar>
            <w:shd w:fill="FFFFFF"/>
          </w:tcPr>
          <w:p>
            <w:pPr>
              <w:spacing w:after="0"/>
            </w:pPr>
            <w:r>
              <w:rPr>
                <w:rFonts w:ascii="Arial" w:hAnsi="Arial"/>
                <w:sz w:val="18"/>
              </w:rPr>
              <w:t>Mide media, maximo y distribucion acumulada del tiempo de respuesta.</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Proceso</w:t>
            </w:r>
          </w:p>
        </w:tc>
        <w:tc>
          <w:tcPr>
            <w:tcW w:type="dxa" w:w="7560"/>
            <w:vAlign w:val="center"/>
            <w:tcMar>
              <w:top w:w="120" w:type="dxa"/>
              <w:start w:w="140" w:type="dxa"/>
              <w:bottom w:w="120" w:type="dxa"/>
              <w:end w:w="140" w:type="dxa"/>
            </w:tcMar>
            <w:shd w:fill="EEF3F8"/>
          </w:tcPr>
          <w:p>
            <w:pPr>
              <w:spacing w:after="0"/>
            </w:pPr>
            <w:r>
              <w:rPr>
                <w:rFonts w:ascii="Arial" w:hAnsi="Arial"/>
                <w:sz w:val="18"/>
              </w:rPr>
              <w:t>Informa memoria residente y tiempo activo del monitor.</w:t>
            </w:r>
          </w:p>
        </w:tc>
      </w:tr>
    </w:tbl>
    <w:p>
      <w:pPr>
        <w:pStyle w:val="Heading2"/>
      </w:pPr>
      <w:r>
        <w:t>Como se utiliza</w:t>
      </w:r>
    </w:p>
    <w:p>
      <w:pPr>
        <w:pStyle w:val="ListBullet"/>
        <w:spacing w:after="80"/>
      </w:pPr>
      <w:r>
        <w:t>Los registros JSON aparecen en la salida del servidor al atender solicitudes.</w:t>
      </w:r>
    </w:p>
    <w:p>
      <w:pPr>
        <w:pStyle w:val="ListBullet"/>
        <w:spacing w:after="80"/>
      </w:pPr>
      <w:r>
        <w:t>El operador configura OPERATIONS_METRICS_TOKEN con 64 caracteres hexadecimales aleatorios y reinicia.</w:t>
      </w:r>
    </w:p>
    <w:p>
      <w:pPr>
        <w:pStyle w:val="ListBullet"/>
        <w:spacing w:after="80"/>
      </w:pPr>
      <w:r>
        <w:t>Consulta GET /api/v1/operations/metrics con la clave en Authorization Bearer; fuera de localhost debe usar HTTPS.</w:t>
      </w:r>
    </w:p>
    <w:p>
      <w:pPr>
        <w:pStyle w:val="ListBullet"/>
        <w:spacing w:after="80"/>
      </w:pPr>
      <w:r>
        <w:t>Sin clave configurada responde 404; con una clave incorrecta, 401. No se activo en la instalacion local del usuario.</w:t>
      </w:r>
    </w:p>
    <w:p>
      <w:pPr>
        <w:pStyle w:val="Heading2"/>
      </w:pPr>
      <w:r>
        <w:t>Privacidad y acceso</w:t>
      </w:r>
    </w:p>
    <w:p>
      <w:r>
        <w:t>Los nuevos registros HTTP omiten URL, cuerpos, cookies, tokens, direcciones IP y datos de usuarios o empresas. El identificador lo genera el servidor. Las metricas son globales del proceso: solo el operador con la clave puede consultarlas; los roles de una empresa no dan acceso. La pagina publica de GitHub Pages no tiene este endpoint.</w:t>
      </w:r>
    </w:p>
    <w:p>
      <w:pPr>
        <w:pStyle w:val="Heading2"/>
      </w:pPr>
      <w:r>
        <w:t>Limites y siguiente paso</w:t>
      </w:r>
    </w:p>
    <w:p>
      <w:r>
        <w:t>Los contadores reinician con el proceso y no incluyen historicos, trazas ni alertas. Compose tiene prevista rotacion de logs, aun pendiente de validacion en Docker. Faltan centralizacion, pruebas de carga, PostgreSQL, cola compartida, despliegue productivo y validacion social con cuentas reales. No se agregaron dependencias ni se modificaron secretos. Guia completa: docs/30-monitoreo-operativo.md.</w:t>
      </w:r>
    </w:p>
    <w:p>
      <w:r>
        <w:br w:type="page"/>
      </w:r>
    </w:p>
    <w:p>
      <w:pPr>
        <w:pStyle w:val="Heading1"/>
      </w:pPr>
      <w:r>
        <w:t>Sincronizacion segura y pruebas de carga local</w:t>
      </w:r>
    </w:p>
    <w:p>
      <w:r>
        <w:t>Avance 014 de la version v0.5.3 del 26 de septiembre de 2026. Se reforzo el control de sincronizaciones simultaneas y la separacion de empresas. Las 58 pruebas automatizadas pasaron. Una carga local de 500 solicitudes con 10 simultaneas termino sin errores y guardo correctamente 50 reportes en una base desechable.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304"/>
        <w:gridCol w:w="7488"/>
      </w:tblGrid>
      <w:tr>
        <w:trPr>
          <w:tblHeader/>
          <w:cantSplit/>
        </w:trPr>
        <w:tc>
          <w:tcPr>
            <w:tcW w:type="dxa" w:w="2304"/>
            <w:vAlign w:val="center"/>
            <w:tcMar>
              <w:top w:w="120" w:type="dxa"/>
              <w:start w:w="140" w:type="dxa"/>
              <w:bottom w:w="120" w:type="dxa"/>
              <w:end w:w="140" w:type="dxa"/>
            </w:tcMar>
            <w:shd w:fill="17324D"/>
          </w:tcPr>
          <w:p>
            <w:pPr>
              <w:spacing w:after="0"/>
            </w:pPr>
            <w:r>
              <w:rPr>
                <w:rFonts w:ascii="Arial" w:hAnsi="Arial"/>
                <w:b/>
                <w:color w:val="FFFFFF"/>
                <w:sz w:val="18"/>
              </w:rPr>
              <w:t>Situacion</w:t>
            </w:r>
          </w:p>
        </w:tc>
        <w:tc>
          <w:tcPr>
            <w:tcW w:type="dxa" w:w="7488"/>
            <w:vAlign w:val="center"/>
            <w:tcMar>
              <w:top w:w="120" w:type="dxa"/>
              <w:start w:w="140" w:type="dxa"/>
              <w:bottom w:w="120" w:type="dxa"/>
              <w:end w:w="140" w:type="dxa"/>
            </w:tcMar>
            <w:shd w:fill="17324D"/>
          </w:tcPr>
          <w:p>
            <w:pPr>
              <w:spacing w:after="0"/>
            </w:pPr>
            <w:r>
              <w:rPr>
                <w:rFonts w:ascii="Arial" w:hAnsi="Arial"/>
                <w:b/>
                <w:color w:val="FFFFFF"/>
                <w:sz w:val="18"/>
              </w:rPr>
              <w:t>Comportamiento comprobado</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Dos sincronizaciones</w:t>
            </w:r>
          </w:p>
        </w:tc>
        <w:tc>
          <w:tcPr>
            <w:tcW w:type="dxa" w:w="7488"/>
            <w:vAlign w:val="center"/>
            <w:tcMar>
              <w:top w:w="120" w:type="dxa"/>
              <w:start w:w="140" w:type="dxa"/>
              <w:bottom w:w="120" w:type="dxa"/>
              <w:end w:w="140" w:type="dxa"/>
            </w:tcMar>
            <w:shd w:fill="FFFFFF"/>
          </w:tcPr>
          <w:p>
            <w:pPr>
              <w:spacing w:after="0"/>
            </w:pPr>
            <w:r>
              <w:rPr>
                <w:rFonts w:ascii="Arial" w:hAnsi="Arial"/>
                <w:sz w:val="18"/>
              </w:rPr>
              <w:t>La manual y la automatica comparten bloqueo; la segunda manual recibe 409 mientras este ocupado.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Consulta lenta</w:t>
            </w:r>
          </w:p>
        </w:tc>
        <w:tc>
          <w:tcPr>
            <w:tcW w:type="dxa" w:w="7488"/>
            <w:vAlign w:val="center"/>
            <w:tcMar>
              <w:top w:w="120" w:type="dxa"/>
              <w:start w:w="140" w:type="dxa"/>
              <w:bottom w:w="120" w:type="dxa"/>
              <w:end w:w="140" w:type="dxa"/>
            </w:tcMar>
            <w:shd w:fill="EEF3F8"/>
          </w:tcPr>
          <w:p>
            <w:pPr>
              <w:spacing w:after="0"/>
            </w:pPr>
            <w:r>
              <w:rPr>
                <w:rFonts w:ascii="Arial" w:hAnsi="Arial"/>
                <w:sz w:val="18"/>
              </w:rPr>
              <w:t>El bloqueo se renueva. Al superar 120 segundos, el resultado tardio no se guarda.</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Cambio de acceso</w:t>
            </w:r>
          </w:p>
        </w:tc>
        <w:tc>
          <w:tcPr>
            <w:tcW w:type="dxa" w:w="7488"/>
            <w:vAlign w:val="center"/>
            <w:tcMar>
              <w:top w:w="120" w:type="dxa"/>
              <w:start w:w="140" w:type="dxa"/>
              <w:bottom w:w="120" w:type="dxa"/>
              <w:end w:w="140" w:type="dxa"/>
            </w:tcMar>
            <w:shd w:fill="FFFFFF"/>
          </w:tcPr>
          <w:p>
            <w:pPr>
              <w:spacing w:after="0"/>
            </w:pPr>
            <w:r>
              <w:rPr>
                <w:rFonts w:ascii="Arial" w:hAnsi="Arial"/>
                <w:sz w:val="18"/>
              </w:rPr>
              <w:t>Revocar la conexion, desactivar la empresa o retirar permisos impide guardar resultados en curso.</w:t>
            </w:r>
          </w:p>
        </w:tc>
      </w:tr>
      <w:tr>
        <w:trPr>
          <w:cantSplit/>
        </w:trPr>
        <w:tc>
          <w:tcPr>
            <w:tcW w:type="dxa" w:w="2304"/>
            <w:vAlign w:val="center"/>
            <w:tcMar>
              <w:top w:w="120" w:type="dxa"/>
              <w:start w:w="140" w:type="dxa"/>
              <w:bottom w:w="120" w:type="dxa"/>
              <w:end w:w="140" w:type="dxa"/>
            </w:tcMar>
            <w:shd w:fill="EEF3F8"/>
          </w:tcPr>
          <w:p>
            <w:pPr>
              <w:spacing w:after="0"/>
            </w:pPr>
            <w:r>
              <w:rPr>
                <w:rFonts w:ascii="Arial" w:hAnsi="Arial"/>
                <w:sz w:val="18"/>
              </w:rPr>
              <w:t>Cuenta de otra empresa</w:t>
            </w:r>
          </w:p>
        </w:tc>
        <w:tc>
          <w:tcPr>
            <w:tcW w:type="dxa" w:w="7488"/>
            <w:vAlign w:val="center"/>
            <w:tcMar>
              <w:top w:w="120" w:type="dxa"/>
              <w:start w:w="140" w:type="dxa"/>
              <w:bottom w:w="120" w:type="dxa"/>
              <w:end w:w="140" w:type="dxa"/>
            </w:tcMar>
            <w:shd w:fill="EEF3F8"/>
          </w:tcPr>
          <w:p>
            <w:pPr>
              <w:spacing w:after="0"/>
            </w:pPr>
            <w:r>
              <w:rPr>
                <w:rFonts w:ascii="Arial" w:hAnsi="Arial"/>
                <w:sz w:val="18"/>
              </w:rPr>
              <w:t>Los accesos cruzados a reportes, historicos, publicaciones, usuarios y actividad son rechazados o filtrados.</w:t>
            </w:r>
          </w:p>
        </w:tc>
      </w:tr>
      <w:tr>
        <w:trPr>
          <w:cantSplit/>
        </w:trPr>
        <w:tc>
          <w:tcPr>
            <w:tcW w:type="dxa" w:w="2304"/>
            <w:vAlign w:val="center"/>
            <w:tcMar>
              <w:top w:w="120" w:type="dxa"/>
              <w:start w:w="140" w:type="dxa"/>
              <w:bottom w:w="120" w:type="dxa"/>
              <w:end w:w="140" w:type="dxa"/>
            </w:tcMar>
            <w:shd w:fill="FFFFFF"/>
          </w:tcPr>
          <w:p>
            <w:pPr>
              <w:spacing w:after="0"/>
            </w:pPr>
            <w:r>
              <w:rPr>
                <w:rFonts w:ascii="Arial" w:hAnsi="Arial"/>
                <w:sz w:val="18"/>
              </w:rPr>
              <w:t>Retorno de OAuth</w:t>
            </w:r>
          </w:p>
        </w:tc>
        <w:tc>
          <w:tcPr>
            <w:tcW w:type="dxa" w:w="7488"/>
            <w:vAlign w:val="center"/>
            <w:tcMar>
              <w:top w:w="120" w:type="dxa"/>
              <w:start w:w="140" w:type="dxa"/>
              <w:bottom w:w="120" w:type="dxa"/>
              <w:end w:w="140" w:type="dxa"/>
            </w:tcMar>
            <w:shd w:fill="FFFFFF"/>
          </w:tcPr>
          <w:p>
            <w:pPr>
              <w:spacing w:after="0"/>
            </w:pPr>
            <w:r>
              <w:rPr>
                <w:rFonts w:ascii="Arial" w:hAnsi="Arial"/>
                <w:sz w:val="18"/>
              </w:rPr>
              <w:t>El estado se consume una sola vez; se revalidan permisos y se evita sobrescribir una sincronizacion activa.</w:t>
            </w:r>
          </w:p>
        </w:tc>
      </w:tr>
    </w:tbl>
    <w:p>
      <w:pPr>
        <w:pStyle w:val="Heading2"/>
      </w:pPr>
      <w:r>
        <w:t>Como verificarlo</w:t>
      </w:r>
    </w:p>
    <w:p>
      <w:r>
        <w:t>npm test ejecuta las 58 pruebas. npm run test:load -- 500 10 inicia un servidor temporal propio, hace consultas autenticadas y crea reportes ficticios. No acepta una pagina externa como destino, no carga los secretos de .env ni usa la base habitual. Al terminar cierra el servidor y elimina su carpeta temporal.</w:t>
      </w:r>
    </w:p>
    <w:p>
      <w:r>
        <w:t>GitHub Actions incorpora una carga corta antes de publicar. La evidencia local esta en docs/evidencias/carga-v053.json. La guia tecnica y los limites se encuentran en docs/31-validacion-concurrencia-y-carga.md.</w:t>
      </w:r>
    </w:p>
    <w:p>
      <w:pPr>
        <w:pStyle w:val="Heading2"/>
      </w:pPr>
      <w:r>
        <w:t>Que no demuestra esta prueba</w:t>
      </w:r>
    </w:p>
    <w:p>
      <w:r>
        <w:t>La carga usa pocos datos y sesiones ya creadas; no mide login, correo ni APIs sociales. No determina cuantos clientes soportara un servidor real ni reemplaza una auditoria externa. Si un SDK ignora cancelacion puede terminar una consulta externa, aunque su resultado ya no se escriba en la base. SQLite sigue siendo de una instancia.</w:t>
      </w:r>
    </w:p>
    <w:p>
      <w:pPr>
        <w:pStyle w:val="Heading2"/>
      </w:pPr>
      <w:r>
        <w:t>Trabajo restante</w:t>
      </w:r>
    </w:p>
    <w:p>
      <w:r>
        <w:t>La solicitud general aun no esta completada. Faltan credenciales y aprobaciones de redes, validacion real, SMTP y despliegue productivo. Tambien siguen pendientes PostgreSQL, cola compartida, balanceador, copias externas, monitoreo centralizado y pruebas sostenidas. No se contrataron servicios ni se cambiaron las pantallas; la pagina publica sigue siendo una demostracion estatica.</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