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18"/>
        </w:rPr>
        <w:t>SOCIAL AUDIT PRO</w:t>
      </w:r>
    </w:p>
    <w:p>
      <w:pPr>
        <w:pStyle w:val="Title"/>
        <w:jc w:val="left"/>
      </w:pPr>
      <w:r>
        <w:t>Informe semanal del proyecto</w:t>
      </w:r>
    </w:p>
    <w:p>
      <w:pPr>
        <w:spacing w:after="320"/>
      </w:pPr>
      <w:r>
        <w:rPr>
          <w:rFonts w:ascii="Arial" w:hAnsi="Arial"/>
          <w:b/>
          <w:color w:val="000000"/>
          <w:sz w:val="28"/>
        </w:rPr>
        <w:t>Semana del 21 al 27 de septiembre de 2026</w:t>
      </w:r>
    </w:p>
    <w:p>
      <w:r>
        <w:t>Este informe presenta el avance verificable de la plataforma, explica que funciones quedaron implementadas y separa con precision el trabajo que aun depende de credenciales, aprobaciones o infraestructura externa.</w:t>
      </w:r>
    </w:p>
    <w:p>
      <w:r>
        <w:rPr>
          <w:b/>
        </w:rPr>
        <w:t xml:space="preserve">Conclusion principal. </w:t>
      </w:r>
      <w:r>
        <w:t>La version local ya cuenta con organizaciones, recuperacion de contrasena, verificacion de correo, MFA, sincronizacion automatica y conectores para las seis redes. Todavia no es un servicio productivo de alta disponibilidad.</w:t>
      </w:r>
    </w:p>
    <w:p>
      <w:r>
        <w:t>Version documentada  v0.5.5  |  Fecha de corte  26 de septiembre de 2026</w:t>
      </w:r>
    </w:p>
    <w:p>
      <w:r>
        <w:br w:type="page"/>
      </w:r>
    </w:p>
    <w:p>
      <w:pPr>
        <w:pStyle w:val="Heading1"/>
      </w:pPr>
      <w:r>
        <w:t>Solicitudes atendidas</w:t>
      </w:r>
    </w:p>
    <w:p>
      <w:r>
        <w:t>La solicitud de la semana concentro seguridad, multiempresa, integraciones oficiales, automatizacion y preparacion de produccion.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096"/>
        <w:gridCol w:w="4680"/>
        <w:gridCol w:w="1800"/>
      </w:tblGrid>
      <w:tr>
        <w:trPr>
          <w:tblHeader/>
          <w:cantSplit/>
        </w:trPr>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Solicitud</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Resultado</w:t>
            </w:r>
          </w:p>
        </w:tc>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Estado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Instagram Facebook TikTok LinkedIn y X</w:t>
            </w:r>
          </w:p>
        </w:tc>
        <w:tc>
          <w:tcPr>
            <w:tcW w:type="dxa" w:w="4680"/>
            <w:vAlign w:val="center"/>
            <w:tcMar>
              <w:top w:w="120" w:type="dxa"/>
              <w:start w:w="140" w:type="dxa"/>
              <w:bottom w:w="120" w:type="dxa"/>
              <w:end w:w="140" w:type="dxa"/>
            </w:tcMar>
            <w:shd w:fill="FFFFFF"/>
          </w:tcPr>
          <w:p>
            <w:pPr>
              <w:spacing w:after="0"/>
            </w:pPr>
            <w:r>
              <w:rPr>
                <w:rFonts w:ascii="Arial" w:hAnsi="Arial"/>
                <w:sz w:val="18"/>
              </w:rPr>
              <w:t>Adaptadores OAuth y normalizacion implementados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activacion externa</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Sincronizacion automatica</w:t>
            </w:r>
          </w:p>
        </w:tc>
        <w:tc>
          <w:tcPr>
            <w:tcW w:type="dxa" w:w="4680"/>
            <w:vAlign w:val="center"/>
            <w:tcMar>
              <w:top w:w="120" w:type="dxa"/>
              <w:start w:w="140" w:type="dxa"/>
              <w:bottom w:w="120" w:type="dxa"/>
              <w:end w:w="140" w:type="dxa"/>
            </w:tcMar>
            <w:shd w:fill="EEF3F8"/>
          </w:tcPr>
          <w:p>
            <w:pPr>
              <w:spacing w:after="0"/>
            </w:pPr>
            <w:r>
              <w:rPr>
                <w:rFonts w:ascii="Arial" w:hAnsi="Arial"/>
                <w:sz w:val="18"/>
              </w:rPr>
              <w:t>Programaciones, intervalos y trabajador con arrendamiento</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Backend base y autenticacion en produccion</w:t>
            </w:r>
          </w:p>
        </w:tc>
        <w:tc>
          <w:tcPr>
            <w:tcW w:type="dxa" w:w="4680"/>
            <w:vAlign w:val="center"/>
            <w:tcMar>
              <w:top w:w="120" w:type="dxa"/>
              <w:start w:w="140" w:type="dxa"/>
              <w:bottom w:w="120" w:type="dxa"/>
              <w:end w:w="140" w:type="dxa"/>
            </w:tcMar>
            <w:shd w:fill="FFFFFF"/>
          </w:tcPr>
          <w:p>
            <w:pPr>
              <w:spacing w:after="0"/>
            </w:pPr>
            <w:r>
              <w:rPr>
                <w:rFonts w:ascii="Arial" w:hAnsi="Arial"/>
                <w:sz w:val="18"/>
              </w:rPr>
              <w:t>Contenedor, validaciones y health checks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proveedor productivo</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Recuperacion verificacion y 2FA</w:t>
            </w:r>
          </w:p>
        </w:tc>
        <w:tc>
          <w:tcPr>
            <w:tcW w:type="dxa" w:w="4680"/>
            <w:vAlign w:val="center"/>
            <w:tcMar>
              <w:top w:w="120" w:type="dxa"/>
              <w:start w:w="140" w:type="dxa"/>
              <w:bottom w:w="120" w:type="dxa"/>
              <w:end w:w="140" w:type="dxa"/>
            </w:tcMar>
            <w:shd w:fill="EEF3F8"/>
          </w:tcPr>
          <w:p>
            <w:pPr>
              <w:spacing w:after="0"/>
            </w:pPr>
            <w:r>
              <w:rPr>
                <w:rFonts w:ascii="Arial" w:hAnsi="Arial"/>
                <w:sz w:val="18"/>
              </w:rPr>
              <w:t>Flujos completos con correo, TOTP y recuperacion</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Aislamiento entre empresas</w:t>
            </w:r>
          </w:p>
        </w:tc>
        <w:tc>
          <w:tcPr>
            <w:tcW w:type="dxa" w:w="4680"/>
            <w:vAlign w:val="center"/>
            <w:tcMar>
              <w:top w:w="120" w:type="dxa"/>
              <w:start w:w="140" w:type="dxa"/>
              <w:bottom w:w="120" w:type="dxa"/>
              <w:end w:w="140" w:type="dxa"/>
            </w:tcMar>
            <w:shd w:fill="FFFFFF"/>
          </w:tcPr>
          <w:p>
            <w:pPr>
              <w:spacing w:after="0"/>
            </w:pPr>
            <w:r>
              <w:rPr>
                <w:rFonts w:ascii="Arial" w:hAnsi="Arial"/>
                <w:sz w:val="18"/>
              </w:rPr>
              <w:t>Organizaciones, membresias y filtros por contexto</w:t>
            </w:r>
          </w:p>
        </w:tc>
        <w:tc>
          <w:tcPr>
            <w:tcW w:type="dxa" w:w="1800"/>
            <w:vAlign w:val="center"/>
            <w:tcMar>
              <w:top w:w="120" w:type="dxa"/>
              <w:start w:w="140" w:type="dxa"/>
              <w:bottom w:w="120" w:type="dxa"/>
              <w:end w:w="140" w:type="dxa"/>
            </w:tcMar>
            <w:shd w:fill="FFFFFF"/>
          </w:tcPr>
          <w:p>
            <w:pPr>
              <w:spacing w:after="0"/>
            </w:pPr>
            <w:r>
              <w:rPr>
                <w:rFonts w:ascii="Arial" w:hAnsi="Arial"/>
                <w:sz w:val="18"/>
              </w:rPr>
              <w:t>Implementado y sujeto a revision</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Multiples servidores</w:t>
            </w:r>
          </w:p>
        </w:tc>
        <w:tc>
          <w:tcPr>
            <w:tcW w:type="dxa" w:w="4680"/>
            <w:vAlign w:val="center"/>
            <w:tcMar>
              <w:top w:w="120" w:type="dxa"/>
              <w:start w:w="140" w:type="dxa"/>
              <w:bottom w:w="120" w:type="dxa"/>
              <w:end w:w="140" w:type="dxa"/>
            </w:tcMar>
            <w:shd w:fill="EEF3F8"/>
          </w:tcPr>
          <w:p>
            <w:pPr>
              <w:spacing w:after="0"/>
            </w:pPr>
            <w:r>
              <w:rPr>
                <w:rFonts w:ascii="Arial" w:hAnsi="Arial"/>
                <w:sz w:val="18"/>
              </w:rPr>
              <w:t>Bases tecnicas documentadas</w:t>
            </w:r>
          </w:p>
        </w:tc>
        <w:tc>
          <w:tcPr>
            <w:tcW w:type="dxa" w:w="1800"/>
            <w:vAlign w:val="center"/>
            <w:tcMar>
              <w:top w:w="120" w:type="dxa"/>
              <w:start w:w="140" w:type="dxa"/>
              <w:bottom w:w="120" w:type="dxa"/>
              <w:end w:w="140" w:type="dxa"/>
            </w:tcMar>
            <w:shd w:fill="EEF3F8"/>
          </w:tcPr>
          <w:p>
            <w:pPr>
              <w:spacing w:after="0"/>
            </w:pPr>
            <w:r>
              <w:rPr>
                <w:rFonts w:ascii="Arial" w:hAnsi="Arial"/>
                <w:sz w:val="18"/>
              </w:rPr>
              <w:t>Falta PostgreSQL y cola</w:t>
            </w:r>
          </w:p>
        </w:tc>
      </w:tr>
    </w:tbl>
    <w:p>
      <w:pPr>
        <w:pStyle w:val="Heading1"/>
      </w:pPr>
      <w:r>
        <w:t>Resultado funcional</w:t>
      </w:r>
    </w:p>
    <w:p>
      <w:pPr>
        <w:pStyle w:val="ListBullet"/>
        <w:spacing w:after="80"/>
      </w:pPr>
      <w:r>
        <w:t>Un usuario puede pertenecer a organizaciones y cambiar el contexto activo.</w:t>
      </w:r>
    </w:p>
    <w:p>
      <w:pPr>
        <w:pStyle w:val="ListBullet"/>
        <w:spacing w:after="80"/>
      </w:pPr>
      <w:r>
        <w:t>Los datos de cuentas, analitica, reportes, actividad e integraciones se filtran por organizacion.</w:t>
      </w:r>
    </w:p>
    <w:p>
      <w:pPr>
        <w:pStyle w:val="ListBullet"/>
        <w:spacing w:after="80"/>
      </w:pPr>
      <w:r>
        <w:t>El correo se verifica antes de un nuevo login y la contrasena puede restablecerse con enlace temporal.</w:t>
      </w:r>
    </w:p>
    <w:p>
      <w:pPr>
        <w:pStyle w:val="ListBullet"/>
        <w:spacing w:after="80"/>
      </w:pPr>
      <w:r>
        <w:t>MFA permite alta por QR, codigos TOTP y codigos de recuperacion.</w:t>
      </w:r>
    </w:p>
    <w:p>
      <w:pPr>
        <w:pStyle w:val="ListBullet"/>
        <w:spacing w:after="80"/>
      </w:pPr>
      <w:r>
        <w:t>Las conexiones pueden sincronizarse manualmente o con intervalos programados.</w:t>
      </w:r>
    </w:p>
    <w:p>
      <w:pPr>
        <w:pStyle w:val="ListBullet"/>
        <w:spacing w:after="80"/>
      </w:pPr>
      <w:r>
        <w:t>Los seis proveedores comparten una ruta OAuth y un contrato normalizado de datos.</w:t>
      </w:r>
    </w:p>
    <w:p>
      <w:pPr>
        <w:keepNext/>
        <w:jc w:val="center"/>
      </w:pPr>
      <w:r>
        <w:drawing>
          <wp:inline xmlns:a="http://schemas.openxmlformats.org/drawingml/2006/main" xmlns:pic="http://schemas.openxmlformats.org/drawingml/2006/picture">
            <wp:extent cx="6080760" cy="3800475"/>
            <wp:docPr id="1" name="Picture 1"/>
            <wp:cNvGraphicFramePr>
              <a:graphicFrameLocks noChangeAspect="1"/>
            </wp:cNvGraphicFramePr>
            <a:graphic>
              <a:graphicData uri="http://schemas.openxmlformats.org/drawingml/2006/picture">
                <pic:pic>
                  <pic:nvPicPr>
                    <pic:cNvPr id="0" name="integraciones-desktop.png"/>
                    <pic:cNvPicPr/>
                  </pic:nvPicPr>
                  <pic:blipFill>
                    <a:blip r:embed="rId10"/>
                    <a:stretch>
                      <a:fillRect/>
                    </a:stretch>
                  </pic:blipFill>
                  <pic:spPr>
                    <a:xfrm>
                      <a:off x="0" y="0"/>
                      <a:ext cx="6080760" cy="3800475"/>
                    </a:xfrm>
                    <a:prstGeom prst="rect"/>
                  </pic:spPr>
                </pic:pic>
              </a:graphicData>
            </a:graphic>
          </wp:inline>
        </w:drawing>
      </w:r>
    </w:p>
    <w:p>
      <w:pPr>
        <w:spacing w:before="60" w:after="200"/>
        <w:jc w:val="center"/>
      </w:pPr>
      <w:r>
        <w:rPr>
          <w:rFonts w:ascii="Arial" w:hAnsi="Arial"/>
          <w:i/>
          <w:color w:val="5C6670"/>
          <w:sz w:val="18"/>
        </w:rPr>
        <w:t>Figura 1  Vista de Integraciones utilizada para administrar proveedores</w:t>
      </w:r>
    </w:p>
    <w:p>
      <w:r>
        <w:br w:type="page"/>
      </w:r>
    </w:p>
    <w:p>
      <w:pPr>
        <w:pStyle w:val="Heading1"/>
      </w:pPr>
      <w:r>
        <w:t>Arquitectura alcanzada</w:t>
      </w:r>
    </w:p>
    <w:p>
      <w:r>
        <w:t>El frontend consume una API Express. La API aplica identidad, permisos y contexto de organizacion antes de consultar SQLite. Los adaptadores externos normalizan respuestas y el trabajador procesa las tareas programadas.</w:t>
      </w:r>
    </w:p>
    <w:p>
      <w:pPr>
        <w:keepNext/>
        <w:jc w:val="center"/>
      </w:pPr>
      <w:r>
        <w:drawing>
          <wp:inline xmlns:a="http://schemas.openxmlformats.org/drawingml/2006/main" xmlns:pic="http://schemas.openxmlformats.org/drawingml/2006/picture">
            <wp:extent cx="5806440" cy="1783407"/>
            <wp:docPr id="2" name="Picture 2"/>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5806440" cy="1783407"/>
                    </a:xfrm>
                    <a:prstGeom prst="rect"/>
                  </pic:spPr>
                </pic:pic>
              </a:graphicData>
            </a:graphic>
          </wp:inline>
        </w:drawing>
      </w:r>
    </w:p>
    <w:p>
      <w:pPr>
        <w:spacing w:before="60" w:after="200"/>
        <w:jc w:val="center"/>
      </w:pPr>
      <w:r>
        <w:rPr>
          <w:rFonts w:ascii="Arial" w:hAnsi="Arial"/>
          <w:i/>
          <w:color w:val="5C6670"/>
          <w:sz w:val="18"/>
        </w:rPr>
        <w:t>Figura 2  Capas principales de la aplicacion local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20"/>
        <w:gridCol w:w="7056"/>
      </w:tblGrid>
      <w:tr>
        <w:trPr>
          <w:tblHeader/>
          <w:cantSplit/>
        </w:trPr>
        <w:tc>
          <w:tcPr>
            <w:tcW w:type="dxa" w:w="2520"/>
            <w:vAlign w:val="center"/>
            <w:tcMar>
              <w:top w:w="120" w:type="dxa"/>
              <w:start w:w="140" w:type="dxa"/>
              <w:bottom w:w="120" w:type="dxa"/>
              <w:end w:w="140" w:type="dxa"/>
            </w:tcMar>
            <w:shd w:fill="17324D"/>
          </w:tcPr>
          <w:p>
            <w:pPr>
              <w:spacing w:after="0"/>
            </w:pPr>
            <w:r>
              <w:rPr>
                <w:rFonts w:ascii="Arial" w:hAnsi="Arial"/>
                <w:b/>
                <w:color w:val="FFFFFF"/>
                <w:sz w:val="18"/>
              </w:rPr>
              <w:t>Componente</w:t>
            </w:r>
          </w:p>
        </w:tc>
        <w:tc>
          <w:tcPr>
            <w:tcW w:type="dxa" w:w="7056"/>
            <w:vAlign w:val="center"/>
            <w:tcMar>
              <w:top w:w="120" w:type="dxa"/>
              <w:start w:w="140" w:type="dxa"/>
              <w:bottom w:w="120" w:type="dxa"/>
              <w:end w:w="140" w:type="dxa"/>
            </w:tcMar>
            <w:shd w:fill="17324D"/>
          </w:tcPr>
          <w:p>
            <w:pPr>
              <w:spacing w:after="0"/>
            </w:pPr>
            <w:r>
              <w:rPr>
                <w:rFonts w:ascii="Arial" w:hAnsi="Arial"/>
                <w:b/>
                <w:color w:val="FFFFFF"/>
                <w:sz w:val="18"/>
              </w:rPr>
              <w:t>Responsabilidad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Frontend</w:t>
            </w:r>
          </w:p>
        </w:tc>
        <w:tc>
          <w:tcPr>
            <w:tcW w:type="dxa" w:w="7056"/>
            <w:vAlign w:val="center"/>
            <w:tcMar>
              <w:top w:w="120" w:type="dxa"/>
              <w:start w:w="140" w:type="dxa"/>
              <w:bottom w:w="120" w:type="dxa"/>
              <w:end w:w="140" w:type="dxa"/>
            </w:tcMar>
            <w:shd w:fill="FFFFFF"/>
          </w:tcPr>
          <w:p>
            <w:pPr>
              <w:spacing w:after="0"/>
            </w:pPr>
            <w:r>
              <w:rPr>
                <w:rFonts w:ascii="Arial" w:hAnsi="Arial"/>
                <w:sz w:val="18"/>
              </w:rPr>
              <w:t>Navegacion, formularios, filtros y presentacion de resultados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API</w:t>
            </w:r>
          </w:p>
        </w:tc>
        <w:tc>
          <w:tcPr>
            <w:tcW w:type="dxa" w:w="7056"/>
            <w:vAlign w:val="center"/>
            <w:tcMar>
              <w:top w:w="120" w:type="dxa"/>
              <w:start w:w="140" w:type="dxa"/>
              <w:bottom w:w="120" w:type="dxa"/>
              <w:end w:w="140" w:type="dxa"/>
            </w:tcMar>
            <w:shd w:fill="EEF3F8"/>
          </w:tcPr>
          <w:p>
            <w:pPr>
              <w:spacing w:after="0"/>
            </w:pPr>
            <w:r>
              <w:rPr>
                <w:rFonts w:ascii="Arial" w:hAnsi="Arial"/>
                <w:sz w:val="18"/>
              </w:rPr>
              <w:t>Autorizacion, validacion, orquestacion y respuestas REST</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Identidad</w:t>
            </w:r>
          </w:p>
        </w:tc>
        <w:tc>
          <w:tcPr>
            <w:tcW w:type="dxa" w:w="7056"/>
            <w:vAlign w:val="center"/>
            <w:tcMar>
              <w:top w:w="120" w:type="dxa"/>
              <w:start w:w="140" w:type="dxa"/>
              <w:bottom w:w="120" w:type="dxa"/>
              <w:end w:w="140" w:type="dxa"/>
            </w:tcMar>
            <w:shd w:fill="FFFFFF"/>
          </w:tcPr>
          <w:p>
            <w:pPr>
              <w:spacing w:after="0"/>
            </w:pPr>
            <w:r>
              <w:rPr>
                <w:rFonts w:ascii="Arial" w:hAnsi="Arial"/>
                <w:sz w:val="18"/>
              </w:rPr>
              <w:t>Sesiones, correo, recuperacion, MFA, CSRF y roles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Integraciones</w:t>
            </w:r>
          </w:p>
        </w:tc>
        <w:tc>
          <w:tcPr>
            <w:tcW w:type="dxa" w:w="7056"/>
            <w:vAlign w:val="center"/>
            <w:tcMar>
              <w:top w:w="120" w:type="dxa"/>
              <w:start w:w="140" w:type="dxa"/>
              <w:bottom w:w="120" w:type="dxa"/>
              <w:end w:w="140" w:type="dxa"/>
            </w:tcMar>
            <w:shd w:fill="EEF3F8"/>
          </w:tcPr>
          <w:p>
            <w:pPr>
              <w:spacing w:after="0"/>
            </w:pPr>
            <w:r>
              <w:rPr>
                <w:rFonts w:ascii="Arial" w:hAnsi="Arial"/>
                <w:sz w:val="18"/>
              </w:rPr>
              <w:t>OAuth, renovacion, consulta y normalizacion por red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Trabajador</w:t>
            </w:r>
          </w:p>
        </w:tc>
        <w:tc>
          <w:tcPr>
            <w:tcW w:type="dxa" w:w="7056"/>
            <w:vAlign w:val="center"/>
            <w:tcMar>
              <w:top w:w="120" w:type="dxa"/>
              <w:start w:w="140" w:type="dxa"/>
              <w:bottom w:w="120" w:type="dxa"/>
              <w:end w:w="140" w:type="dxa"/>
            </w:tcMar>
            <w:shd w:fill="FFFFFF"/>
          </w:tcPr>
          <w:p>
            <w:pPr>
              <w:spacing w:after="0"/>
            </w:pPr>
            <w:r>
              <w:rPr>
                <w:rFonts w:ascii="Arial" w:hAnsi="Arial"/>
                <w:sz w:val="18"/>
              </w:rPr>
              <w:t>Reclamo y ejecucion de sincronizaciones vencidas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Persistencia</w:t>
            </w:r>
          </w:p>
        </w:tc>
        <w:tc>
          <w:tcPr>
            <w:tcW w:type="dxa" w:w="7056"/>
            <w:vAlign w:val="center"/>
            <w:tcMar>
              <w:top w:w="120" w:type="dxa"/>
              <w:start w:w="140" w:type="dxa"/>
              <w:bottom w:w="120" w:type="dxa"/>
              <w:end w:w="140" w:type="dxa"/>
            </w:tcMar>
            <w:shd w:fill="EEF3F8"/>
          </w:tcPr>
          <w:p>
            <w:pPr>
              <w:spacing w:after="0"/>
            </w:pPr>
            <w:r>
              <w:rPr>
                <w:rFonts w:ascii="Arial" w:hAnsi="Arial"/>
                <w:sz w:val="18"/>
              </w:rPr>
              <w:t>Organizaciones, historicos, tokens cifrados, reportes y actividad</w:t>
            </w:r>
          </w:p>
        </w:tc>
      </w:tr>
    </w:tbl>
    <w:p>
      <w:r>
        <w:br w:type="page"/>
      </w:r>
    </w:p>
    <w:p>
      <w:pPr>
        <w:pStyle w:val="Heading1"/>
      </w:pPr>
      <w:r>
        <w:t>Seguridad y aislamiento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4392"/>
        <w:gridCol w:w="3240"/>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Control</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240"/>
            <w:vAlign w:val="center"/>
            <w:tcMar>
              <w:top w:w="120" w:type="dxa"/>
              <w:start w:w="140" w:type="dxa"/>
              <w:bottom w:w="120" w:type="dxa"/>
              <w:end w:w="140" w:type="dxa"/>
            </w:tcMar>
            <w:shd w:fill="17324D"/>
          </w:tcPr>
          <w:p>
            <w:pPr>
              <w:spacing w:after="0"/>
            </w:pPr>
            <w:r>
              <w:rPr>
                <w:rFonts w:ascii="Arial" w:hAnsi="Arial"/>
                <w:b/>
                <w:color w:val="FFFFFF"/>
                <w:sz w:val="18"/>
              </w:rPr>
              <w:t>Riesgo restante</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Correo</w:t>
            </w:r>
          </w:p>
        </w:tc>
        <w:tc>
          <w:tcPr>
            <w:tcW w:type="dxa" w:w="4392"/>
            <w:vAlign w:val="center"/>
            <w:tcMar>
              <w:top w:w="120" w:type="dxa"/>
              <w:start w:w="140" w:type="dxa"/>
              <w:bottom w:w="120" w:type="dxa"/>
              <w:end w:w="140" w:type="dxa"/>
            </w:tcMar>
            <w:shd w:fill="FFFFFF"/>
          </w:tcPr>
          <w:p>
            <w:pPr>
              <w:spacing w:after="0"/>
            </w:pPr>
            <w:r>
              <w:rPr>
                <w:rFonts w:ascii="Arial" w:hAnsi="Arial"/>
                <w:sz w:val="18"/>
              </w:rPr>
              <w:t>Token con hash, expiracion y uso unico</w:t>
            </w:r>
          </w:p>
        </w:tc>
        <w:tc>
          <w:tcPr>
            <w:tcW w:type="dxa" w:w="3240"/>
            <w:vAlign w:val="center"/>
            <w:tcMar>
              <w:top w:w="120" w:type="dxa"/>
              <w:start w:w="140" w:type="dxa"/>
              <w:bottom w:w="120" w:type="dxa"/>
              <w:end w:w="140" w:type="dxa"/>
            </w:tcMar>
            <w:shd w:fill="FFFFFF"/>
          </w:tcPr>
          <w:p>
            <w:pPr>
              <w:spacing w:after="0"/>
            </w:pPr>
            <w:r>
              <w:rPr>
                <w:rFonts w:ascii="Arial" w:hAnsi="Arial"/>
                <w:sz w:val="18"/>
              </w:rPr>
              <w:t>Configurar SMTP y dominio</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Contrasenas</w:t>
            </w:r>
          </w:p>
        </w:tc>
        <w:tc>
          <w:tcPr>
            <w:tcW w:type="dxa" w:w="4392"/>
            <w:vAlign w:val="center"/>
            <w:tcMar>
              <w:top w:w="120" w:type="dxa"/>
              <w:start w:w="140" w:type="dxa"/>
              <w:bottom w:w="120" w:type="dxa"/>
              <w:end w:w="140" w:type="dxa"/>
            </w:tcMar>
            <w:shd w:fill="EEF3F8"/>
          </w:tcPr>
          <w:p>
            <w:pPr>
              <w:spacing w:after="0"/>
            </w:pPr>
            <w:r>
              <w:rPr>
                <w:rFonts w:ascii="Arial" w:hAnsi="Arial"/>
                <w:sz w:val="18"/>
              </w:rPr>
              <w:t>scrypt y revocacion de sesiones al restablecer</w:t>
            </w:r>
          </w:p>
        </w:tc>
        <w:tc>
          <w:tcPr>
            <w:tcW w:type="dxa" w:w="3240"/>
            <w:vAlign w:val="center"/>
            <w:tcMar>
              <w:top w:w="120" w:type="dxa"/>
              <w:start w:w="140" w:type="dxa"/>
              <w:bottom w:w="120" w:type="dxa"/>
              <w:end w:w="140" w:type="dxa"/>
            </w:tcMar>
            <w:shd w:fill="EEF3F8"/>
          </w:tcPr>
          <w:p>
            <w:pPr>
              <w:spacing w:after="0"/>
            </w:pPr>
            <w:r>
              <w:rPr>
                <w:rFonts w:ascii="Arial" w:hAnsi="Arial"/>
                <w:sz w:val="18"/>
              </w:rPr>
              <w:t>Agregar monitoreo de abuso</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MFA</w:t>
            </w:r>
          </w:p>
        </w:tc>
        <w:tc>
          <w:tcPr>
            <w:tcW w:type="dxa" w:w="4392"/>
            <w:vAlign w:val="center"/>
            <w:tcMar>
              <w:top w:w="120" w:type="dxa"/>
              <w:start w:w="140" w:type="dxa"/>
              <w:bottom w:w="120" w:type="dxa"/>
              <w:end w:w="140" w:type="dxa"/>
            </w:tcMar>
            <w:shd w:fill="FFFFFF"/>
          </w:tcPr>
          <w:p>
            <w:pPr>
              <w:spacing w:after="0"/>
            </w:pPr>
            <w:r>
              <w:rPr>
                <w:rFonts w:ascii="Arial" w:hAnsi="Arial"/>
                <w:sz w:val="18"/>
              </w:rPr>
              <w:t>TOTP cifrado y codigos de recuperacion con hash</w:t>
            </w:r>
          </w:p>
        </w:tc>
        <w:tc>
          <w:tcPr>
            <w:tcW w:type="dxa" w:w="3240"/>
            <w:vAlign w:val="center"/>
            <w:tcMar>
              <w:top w:w="120" w:type="dxa"/>
              <w:start w:w="140" w:type="dxa"/>
              <w:bottom w:w="120" w:type="dxa"/>
              <w:end w:w="140" w:type="dxa"/>
            </w:tcMar>
            <w:shd w:fill="FFFFFF"/>
          </w:tcPr>
          <w:p>
            <w:pPr>
              <w:spacing w:after="0"/>
            </w:pPr>
            <w:r>
              <w:rPr>
                <w:rFonts w:ascii="Arial" w:hAnsi="Arial"/>
                <w:sz w:val="18"/>
              </w:rPr>
              <w:t>Probar recuperacion operativa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OAuth</w:t>
            </w:r>
          </w:p>
        </w:tc>
        <w:tc>
          <w:tcPr>
            <w:tcW w:type="dxa" w:w="4392"/>
            <w:vAlign w:val="center"/>
            <w:tcMar>
              <w:top w:w="120" w:type="dxa"/>
              <w:start w:w="140" w:type="dxa"/>
              <w:bottom w:w="120" w:type="dxa"/>
              <w:end w:w="140" w:type="dxa"/>
            </w:tcMar>
            <w:shd w:fill="EEF3F8"/>
          </w:tcPr>
          <w:p>
            <w:pPr>
              <w:spacing w:after="0"/>
            </w:pPr>
            <w:r>
              <w:rPr>
                <w:rFonts w:ascii="Arial" w:hAnsi="Arial"/>
                <w:sz w:val="18"/>
              </w:rPr>
              <w:t>Estado de un uso, cifrado y PKCE cuando aplica</w:t>
            </w:r>
          </w:p>
        </w:tc>
        <w:tc>
          <w:tcPr>
            <w:tcW w:type="dxa" w:w="3240"/>
            <w:vAlign w:val="center"/>
            <w:tcMar>
              <w:top w:w="120" w:type="dxa"/>
              <w:start w:w="140" w:type="dxa"/>
              <w:bottom w:w="120" w:type="dxa"/>
              <w:end w:w="140" w:type="dxa"/>
            </w:tcMar>
            <w:shd w:fill="EEF3F8"/>
          </w:tcPr>
          <w:p>
            <w:pPr>
              <w:spacing w:after="0"/>
            </w:pPr>
            <w:r>
              <w:rPr>
                <w:rFonts w:ascii="Arial" w:hAnsi="Arial"/>
                <w:sz w:val="18"/>
              </w:rPr>
              <w:t>Validar revocacion por proveedor</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392"/>
            <w:vAlign w:val="center"/>
            <w:tcMar>
              <w:top w:w="120" w:type="dxa"/>
              <w:start w:w="140" w:type="dxa"/>
              <w:bottom w:w="120" w:type="dxa"/>
              <w:end w:w="140" w:type="dxa"/>
            </w:tcMar>
            <w:shd w:fill="FFFFFF"/>
          </w:tcPr>
          <w:p>
            <w:pPr>
              <w:spacing w:after="0"/>
            </w:pPr>
            <w:r>
              <w:rPr>
                <w:rFonts w:ascii="Arial" w:hAnsi="Arial"/>
                <w:sz w:val="18"/>
              </w:rPr>
              <w:t>Contexto en sesion y filtros de recursos</w:t>
            </w:r>
          </w:p>
        </w:tc>
        <w:tc>
          <w:tcPr>
            <w:tcW w:type="dxa" w:w="3240"/>
            <w:vAlign w:val="center"/>
            <w:tcMar>
              <w:top w:w="120" w:type="dxa"/>
              <w:start w:w="140" w:type="dxa"/>
              <w:bottom w:w="120" w:type="dxa"/>
              <w:end w:w="140" w:type="dxa"/>
            </w:tcMar>
            <w:shd w:fill="FFFFFF"/>
          </w:tcPr>
          <w:p>
            <w:pPr>
              <w:spacing w:after="0"/>
            </w:pPr>
            <w:r>
              <w:rPr>
                <w:rFonts w:ascii="Arial" w:hAnsi="Arial"/>
                <w:sz w:val="18"/>
              </w:rPr>
              <w:t>Revision externa de autorizacion</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Produccion</w:t>
            </w:r>
          </w:p>
        </w:tc>
        <w:tc>
          <w:tcPr>
            <w:tcW w:type="dxa" w:w="4392"/>
            <w:vAlign w:val="center"/>
            <w:tcMar>
              <w:top w:w="120" w:type="dxa"/>
              <w:start w:w="140" w:type="dxa"/>
              <w:bottom w:w="120" w:type="dxa"/>
              <w:end w:w="140" w:type="dxa"/>
            </w:tcMar>
            <w:shd w:fill="EEF3F8"/>
          </w:tcPr>
          <w:p>
            <w:pPr>
              <w:spacing w:after="0"/>
            </w:pPr>
            <w:r>
              <w:rPr>
                <w:rFonts w:ascii="Arial" w:hAnsi="Arial"/>
                <w:sz w:val="18"/>
              </w:rPr>
              <w:t>HTTPS y secreto validados al iniciar</w:t>
            </w:r>
          </w:p>
        </w:tc>
        <w:tc>
          <w:tcPr>
            <w:tcW w:type="dxa" w:w="3240"/>
            <w:vAlign w:val="center"/>
            <w:tcMar>
              <w:top w:w="120" w:type="dxa"/>
              <w:start w:w="140" w:type="dxa"/>
              <w:bottom w:w="120" w:type="dxa"/>
              <w:end w:w="140" w:type="dxa"/>
            </w:tcMar>
            <w:shd w:fill="EEF3F8"/>
          </w:tcPr>
          <w:p>
            <w:pPr>
              <w:spacing w:after="0"/>
            </w:pPr>
            <w:r>
              <w:rPr>
                <w:rFonts w:ascii="Arial" w:hAnsi="Arial"/>
                <w:sz w:val="18"/>
              </w:rPr>
              <w:t>Gestor externo de secretos</w:t>
            </w:r>
          </w:p>
        </w:tc>
      </w:tr>
    </w:tbl>
    <w:p>
      <w:pPr>
        <w:pStyle w:val="Heading2"/>
      </w:pPr>
      <w:r>
        <w:t>Pruebas ejecutadas</w:t>
      </w:r>
    </w:p>
    <w:p>
      <w:pPr>
        <w:pStyle w:val="ListBullet"/>
        <w:spacing w:after="80"/>
      </w:pPr>
      <w:r>
        <w:t>25 pruebas automatizadas ejecutadas y aprobadas.</w:t>
      </w:r>
    </w:p>
    <w:p>
      <w:pPr>
        <w:pStyle w:val="ListBullet"/>
        <w:spacing w:after="80"/>
      </w:pPr>
      <w:r>
        <w:t>OAuth generico PKCE comprobado desde el inicio hasta el token cifrado.</w:t>
      </w:r>
    </w:p>
    <w:p>
      <w:pPr>
        <w:pStyle w:val="ListBullet"/>
        <w:spacing w:after="80"/>
      </w:pPr>
      <w:r>
        <w:t>Normalizacion simulada comprobada para TikTok, X, Facebook, Instagram y LinkedIn.</w:t>
      </w:r>
    </w:p>
    <w:p>
      <w:pPr>
        <w:pStyle w:val="ListBullet"/>
        <w:spacing w:after="80"/>
      </w:pPr>
      <w:r>
        <w:t>Dos trabajadores comprobados contra una misma tarea para evitar ejecucion duplicada.</w:t>
      </w:r>
    </w:p>
    <w:p>
      <w:pPr>
        <w:pStyle w:val="ListBullet"/>
        <w:spacing w:after="80"/>
      </w:pPr>
      <w:r>
        <w:t>Aislamiento entre dos organizaciones comprobado en analitica y reportes.</w:t>
      </w:r>
    </w:p>
    <w:p>
      <w:pPr>
        <w:pStyle w:val="ListBullet"/>
        <w:spacing w:after="80"/>
      </w:pPr>
      <w:r>
        <w:t>Compilacion de la demostracion publica completada.</w:t>
      </w:r>
    </w:p>
    <w:p>
      <w:pPr>
        <w:pStyle w:val="Heading2"/>
      </w:pPr>
      <w:r>
        <w:t>Datos y privacidad</w:t>
      </w:r>
    </w:p>
    <w:p>
      <w:r>
        <w:t>No se agregaron secretos reales, nombres personales ni sesiones al repositorio. La demostracion de GitHub Pages conserva datos de muestra y no puede acceder a la base local.</w:t>
      </w:r>
    </w:p>
    <w:p>
      <w:r>
        <w:br w:type="page"/>
      </w:r>
    </w:p>
    <w:p>
      <w:pPr>
        <w:pStyle w:val="Heading1"/>
      </w:pPr>
      <w:r>
        <w:t>Conectores y activacion externa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56"/>
        <w:gridCol w:w="4392"/>
        <w:gridCol w:w="3528"/>
      </w:tblGrid>
      <w:tr>
        <w:trPr>
          <w:tblHeader/>
          <w:cantSplit/>
        </w:trPr>
        <w:tc>
          <w:tcPr>
            <w:tcW w:type="dxa" w:w="1656"/>
            <w:vAlign w:val="center"/>
            <w:tcMar>
              <w:top w:w="120" w:type="dxa"/>
              <w:start w:w="140" w:type="dxa"/>
              <w:bottom w:w="120" w:type="dxa"/>
              <w:end w:w="140" w:type="dxa"/>
            </w:tcMar>
            <w:shd w:fill="17324D"/>
          </w:tcPr>
          <w:p>
            <w:pPr>
              <w:spacing w:after="0"/>
            </w:pPr>
            <w:r>
              <w:rPr>
                <w:rFonts w:ascii="Arial" w:hAnsi="Arial"/>
                <w:b/>
                <w:color w:val="FFFFFF"/>
                <w:sz w:val="18"/>
              </w:rPr>
              <w:t>Red</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Listo en codigo</w:t>
            </w:r>
          </w:p>
        </w:tc>
        <w:tc>
          <w:tcPr>
            <w:tcW w:type="dxa" w:w="3528"/>
            <w:vAlign w:val="center"/>
            <w:tcMar>
              <w:top w:w="120" w:type="dxa"/>
              <w:start w:w="140" w:type="dxa"/>
              <w:bottom w:w="120" w:type="dxa"/>
              <w:end w:w="140" w:type="dxa"/>
            </w:tcMar>
            <w:shd w:fill="17324D"/>
          </w:tcPr>
          <w:p>
            <w:pPr>
              <w:spacing w:after="0"/>
            </w:pPr>
            <w:r>
              <w:rPr>
                <w:rFonts w:ascii="Arial" w:hAnsi="Arial"/>
                <w:b/>
                <w:color w:val="FFFFFF"/>
                <w:sz w:val="18"/>
              </w:rPr>
              <w:t>Necesario para activarla</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YouTube</w:t>
            </w:r>
          </w:p>
        </w:tc>
        <w:tc>
          <w:tcPr>
            <w:tcW w:type="dxa" w:w="4392"/>
            <w:vAlign w:val="center"/>
            <w:tcMar>
              <w:top w:w="120" w:type="dxa"/>
              <w:start w:w="140" w:type="dxa"/>
              <w:bottom w:w="120" w:type="dxa"/>
              <w:end w:w="140" w:type="dxa"/>
            </w:tcMar>
            <w:shd w:fill="FFFFFF"/>
          </w:tcPr>
          <w:p>
            <w:pPr>
              <w:spacing w:after="0"/>
            </w:pPr>
            <w:r>
              <w:rPr>
                <w:rFonts w:ascii="Arial" w:hAnsi="Arial"/>
                <w:sz w:val="18"/>
              </w:rPr>
              <w:t>OAuth, consulta, renovacion y persistencia</w:t>
            </w:r>
          </w:p>
        </w:tc>
        <w:tc>
          <w:tcPr>
            <w:tcW w:type="dxa" w:w="3528"/>
            <w:vAlign w:val="center"/>
            <w:tcMar>
              <w:top w:w="120" w:type="dxa"/>
              <w:start w:w="140" w:type="dxa"/>
              <w:bottom w:w="120" w:type="dxa"/>
              <w:end w:w="140" w:type="dxa"/>
            </w:tcMar>
            <w:shd w:fill="FFFFFF"/>
          </w:tcPr>
          <w:p>
            <w:pPr>
              <w:spacing w:after="0"/>
            </w:pPr>
            <w:r>
              <w:rPr>
                <w:rFonts w:ascii="Arial" w:hAnsi="Arial"/>
                <w:sz w:val="18"/>
              </w:rPr>
              <w:t>Cliente OAuth y APIs de Google</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Instagram</w:t>
            </w:r>
          </w:p>
        </w:tc>
        <w:tc>
          <w:tcPr>
            <w:tcW w:type="dxa" w:w="4392"/>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528"/>
            <w:vAlign w:val="center"/>
            <w:tcMar>
              <w:top w:w="120" w:type="dxa"/>
              <w:start w:w="140" w:type="dxa"/>
              <w:bottom w:w="120" w:type="dxa"/>
              <w:end w:w="140" w:type="dxa"/>
            </w:tcMar>
            <w:shd w:fill="EEF3F8"/>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Facebook</w:t>
            </w:r>
          </w:p>
        </w:tc>
        <w:tc>
          <w:tcPr>
            <w:tcW w:type="dxa" w:w="4392"/>
            <w:vAlign w:val="center"/>
            <w:tcMar>
              <w:top w:w="120" w:type="dxa"/>
              <w:start w:w="140" w:type="dxa"/>
              <w:bottom w:w="120" w:type="dxa"/>
              <w:end w:w="140" w:type="dxa"/>
            </w:tcMar>
            <w:shd w:fill="FFFFFF"/>
          </w:tcPr>
          <w:p>
            <w:pPr>
              <w:spacing w:after="0"/>
            </w:pPr>
            <w:r>
              <w:rPr>
                <w:rFonts w:ascii="Arial" w:hAnsi="Arial"/>
                <w:sz w:val="18"/>
              </w:rPr>
              <w:t>Paginas, publicaciones y token de pagina</w:t>
            </w:r>
          </w:p>
        </w:tc>
        <w:tc>
          <w:tcPr>
            <w:tcW w:type="dxa" w:w="3528"/>
            <w:vAlign w:val="center"/>
            <w:tcMar>
              <w:top w:w="120" w:type="dxa"/>
              <w:start w:w="140" w:type="dxa"/>
              <w:bottom w:w="120" w:type="dxa"/>
              <w:end w:w="140" w:type="dxa"/>
            </w:tcMar>
            <w:shd w:fill="FFFFFF"/>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TikTok</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videos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Aplicacion y productos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LinkedIn</w:t>
            </w:r>
          </w:p>
        </w:tc>
        <w:tc>
          <w:tcPr>
            <w:tcW w:type="dxa" w:w="4392"/>
            <w:vAlign w:val="center"/>
            <w:tcMar>
              <w:top w:w="120" w:type="dxa"/>
              <w:start w:w="140" w:type="dxa"/>
              <w:bottom w:w="120" w:type="dxa"/>
              <w:end w:w="140" w:type="dxa"/>
            </w:tcMar>
            <w:shd w:fill="FFFFFF"/>
          </w:tcPr>
          <w:p>
            <w:pPr>
              <w:spacing w:after="0"/>
            </w:pPr>
            <w:r>
              <w:rPr>
                <w:rFonts w:ascii="Arial" w:hAnsi="Arial"/>
                <w:sz w:val="18"/>
              </w:rPr>
              <w:t>Pagina, seguidores y estadisticas</w:t>
            </w:r>
          </w:p>
        </w:tc>
        <w:tc>
          <w:tcPr>
            <w:tcW w:type="dxa" w:w="3528"/>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X</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publicaciones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Proyecto, plan y cuotas</w:t>
            </w:r>
          </w:p>
        </w:tc>
      </w:tr>
    </w:tbl>
    <w:p>
      <w:r>
        <w:t>La implementacion se considera preparada para activacion, no conectada. Los proveedores pueden modificar scopes, versiones y limites; por eso cada alta requiere una revision de la documentacion oficial y una prueba con cuenta autorizada.</w:t>
      </w:r>
    </w:p>
    <w:p>
      <w:pPr>
        <w:pStyle w:val="Heading1"/>
      </w:pPr>
      <w:r>
        <w:t>Produccion y alta disponibilidad</w:t>
      </w:r>
    </w:p>
    <w:p>
      <w:r>
        <w:t>El Dockerfile y el Compose permiten preparar una instancia. Para multiples servidores, SQLite debe sustituirse por PostgreSQL o equivalente y las tareas deben pasar a una cola compartida. Tambien faltan balanceo, observabilidad, copias y pruebas de restauracion.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4"/>
        <w:gridCol w:w="4680"/>
        <w:gridCol w:w="1512"/>
      </w:tblGrid>
      <w:tr>
        <w:trPr>
          <w:tblHeader/>
          <w:cantSplit/>
        </w:trPr>
        <w:tc>
          <w:tcPr>
            <w:tcW w:type="dxa" w:w="3384"/>
            <w:vAlign w:val="center"/>
            <w:tcMar>
              <w:top w:w="120" w:type="dxa"/>
              <w:start w:w="140" w:type="dxa"/>
              <w:bottom w:w="120" w:type="dxa"/>
              <w:end w:w="140" w:type="dxa"/>
            </w:tcMar>
            <w:shd w:fill="17324D"/>
          </w:tcPr>
          <w:p>
            <w:pPr>
              <w:spacing w:after="0"/>
            </w:pPr>
            <w:r>
              <w:rPr>
                <w:rFonts w:ascii="Arial" w:hAnsi="Arial"/>
                <w:b/>
                <w:color w:val="FFFFFF"/>
                <w:sz w:val="18"/>
              </w:rPr>
              <w:t>Paso siguiente</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Motivo</w:t>
            </w:r>
          </w:p>
        </w:tc>
        <w:tc>
          <w:tcPr>
            <w:tcW w:type="dxa" w:w="1512"/>
            <w:vAlign w:val="center"/>
            <w:tcMar>
              <w:top w:w="120" w:type="dxa"/>
              <w:start w:w="140" w:type="dxa"/>
              <w:bottom w:w="120" w:type="dxa"/>
              <w:end w:w="140" w:type="dxa"/>
            </w:tcMar>
            <w:shd w:fill="17324D"/>
          </w:tcPr>
          <w:p>
            <w:pPr>
              <w:spacing w:after="0"/>
            </w:pPr>
            <w:r>
              <w:rPr>
                <w:rFonts w:ascii="Arial" w:hAnsi="Arial"/>
                <w:b/>
                <w:color w:val="FFFFFF"/>
                <w:sz w:val="18"/>
              </w:rPr>
              <w:t>Prioridad</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Elegir proveedor productivo</w:t>
            </w:r>
          </w:p>
        </w:tc>
        <w:tc>
          <w:tcPr>
            <w:tcW w:type="dxa" w:w="4680"/>
            <w:vAlign w:val="center"/>
            <w:tcMar>
              <w:top w:w="120" w:type="dxa"/>
              <w:start w:w="140" w:type="dxa"/>
              <w:bottom w:w="120" w:type="dxa"/>
              <w:end w:w="140" w:type="dxa"/>
            </w:tcMar>
            <w:shd w:fill="FFFFFF"/>
          </w:tcPr>
          <w:p>
            <w:pPr>
              <w:spacing w:after="0"/>
            </w:pPr>
            <w:r>
              <w:rPr>
                <w:rFonts w:ascii="Arial" w:hAnsi="Arial"/>
                <w:sz w:val="18"/>
              </w:rPr>
              <w:t>Define dominio, red, base, correo y secretos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Migrar a PostgreSQL</w:t>
            </w:r>
          </w:p>
        </w:tc>
        <w:tc>
          <w:tcPr>
            <w:tcW w:type="dxa" w:w="4680"/>
            <w:vAlign w:val="center"/>
            <w:tcMar>
              <w:top w:w="120" w:type="dxa"/>
              <w:start w:w="140" w:type="dxa"/>
              <w:bottom w:w="120" w:type="dxa"/>
              <w:end w:w="140" w:type="dxa"/>
            </w:tcMar>
            <w:shd w:fill="EEF3F8"/>
          </w:tcPr>
          <w:p>
            <w:pPr>
              <w:spacing w:after="0"/>
            </w:pPr>
            <w:r>
              <w:rPr>
                <w:rFonts w:ascii="Arial" w:hAnsi="Arial"/>
                <w:sz w:val="18"/>
              </w:rPr>
              <w:t>Permite persistencia compartida y replicas</w:t>
            </w:r>
          </w:p>
        </w:tc>
        <w:tc>
          <w:tcPr>
            <w:tcW w:type="dxa" w:w="1512"/>
            <w:vAlign w:val="center"/>
            <w:tcMar>
              <w:top w:w="120" w:type="dxa"/>
              <w:start w:w="140" w:type="dxa"/>
              <w:bottom w:w="120" w:type="dxa"/>
              <w:end w:w="140" w:type="dxa"/>
            </w:tcMar>
            <w:shd w:fill="EEF3F8"/>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Validar un conector adicional</w:t>
            </w:r>
          </w:p>
        </w:tc>
        <w:tc>
          <w:tcPr>
            <w:tcW w:type="dxa" w:w="4680"/>
            <w:vAlign w:val="center"/>
            <w:tcMar>
              <w:top w:w="120" w:type="dxa"/>
              <w:start w:w="140" w:type="dxa"/>
              <w:bottom w:w="120" w:type="dxa"/>
              <w:end w:w="140" w:type="dxa"/>
            </w:tcMar>
            <w:shd w:fill="FFFFFF"/>
          </w:tcPr>
          <w:p>
            <w:pPr>
              <w:spacing w:after="0"/>
            </w:pPr>
            <w:r>
              <w:rPr>
                <w:rFonts w:ascii="Arial" w:hAnsi="Arial"/>
                <w:sz w:val="18"/>
              </w:rPr>
              <w:t>Reduce riesgo antes de activar las cinco redes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Incorporar cola y observabilidad</w:t>
            </w:r>
          </w:p>
        </w:tc>
        <w:tc>
          <w:tcPr>
            <w:tcW w:type="dxa" w:w="4680"/>
            <w:vAlign w:val="center"/>
            <w:tcMar>
              <w:top w:w="120" w:type="dxa"/>
              <w:start w:w="140" w:type="dxa"/>
              <w:bottom w:w="120" w:type="dxa"/>
              <w:end w:w="140" w:type="dxa"/>
            </w:tcMar>
            <w:shd w:fill="EEF3F8"/>
          </w:tcPr>
          <w:p>
            <w:pPr>
              <w:spacing w:after="0"/>
            </w:pPr>
            <w:r>
              <w:rPr>
                <w:rFonts w:ascii="Arial" w:hAnsi="Arial"/>
                <w:sz w:val="18"/>
              </w:rPr>
              <w:t>Controla trabajos, reintentos y fallos</w:t>
            </w:r>
          </w:p>
        </w:tc>
        <w:tc>
          <w:tcPr>
            <w:tcW w:type="dxa" w:w="1512"/>
            <w:vAlign w:val="center"/>
            <w:tcMar>
              <w:top w:w="120" w:type="dxa"/>
              <w:start w:w="140" w:type="dxa"/>
              <w:bottom w:w="120" w:type="dxa"/>
              <w:end w:w="140" w:type="dxa"/>
            </w:tcMar>
            <w:shd w:fill="EEF3F8"/>
          </w:tcPr>
          <w:p>
            <w:pPr>
              <w:spacing w:after="0"/>
            </w:pPr>
            <w:r>
              <w:rPr>
                <w:rFonts w:ascii="Arial" w:hAnsi="Arial"/>
                <w:sz w:val="18"/>
              </w:rPr>
              <w:t>Media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Pruebas de carga y seguridad</w:t>
            </w:r>
          </w:p>
        </w:tc>
        <w:tc>
          <w:tcPr>
            <w:tcW w:type="dxa" w:w="4680"/>
            <w:vAlign w:val="center"/>
            <w:tcMar>
              <w:top w:w="120" w:type="dxa"/>
              <w:start w:w="140" w:type="dxa"/>
              <w:bottom w:w="120" w:type="dxa"/>
              <w:end w:w="140" w:type="dxa"/>
            </w:tcMar>
            <w:shd w:fill="FFFFFF"/>
          </w:tcPr>
          <w:p>
            <w:pPr>
              <w:spacing w:after="0"/>
            </w:pPr>
            <w:r>
              <w:rPr>
                <w:rFonts w:ascii="Arial" w:hAnsi="Arial"/>
                <w:sz w:val="18"/>
              </w:rPr>
              <w:t>Confirma capacidad y controles antes de clientes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bl>
    <w:p>
      <w:pPr>
        <w:pStyle w:val="Heading2"/>
      </w:pPr>
      <w:r>
        <w:t>Fuentes de comprobacion</w:t>
      </w:r>
    </w:p>
    <w:p>
      <w:pPr>
        <w:pStyle w:val="ListBullet"/>
        <w:spacing w:after="80"/>
      </w:pPr>
      <w:r>
        <w:t>Migraciones 003 a 006.</w:t>
      </w:r>
    </w:p>
    <w:p>
      <w:pPr>
        <w:pStyle w:val="ListBullet"/>
        <w:spacing w:after="80"/>
      </w:pPr>
      <w:r>
        <w:t>Rutas de organizaciones, autenticacion e integraciones.</w:t>
      </w:r>
    </w:p>
    <w:p>
      <w:pPr>
        <w:pStyle w:val="ListBullet"/>
        <w:spacing w:after="80"/>
      </w:pPr>
      <w:r>
        <w:t>Adaptadores de proveedores y trabajador de sincronizacion.</w:t>
      </w:r>
    </w:p>
    <w:p>
      <w:pPr>
        <w:pStyle w:val="ListBullet"/>
        <w:spacing w:after="80"/>
      </w:pPr>
      <w:r>
        <w:t>Pruebas de API, cuenta, proveedores y trabajador.</w:t>
      </w:r>
    </w:p>
    <w:p>
      <w:pPr>
        <w:pStyle w:val="ListBullet"/>
        <w:spacing w:after="80"/>
      </w:pPr>
      <w:r>
        <w:t>README, CHANGELOG y documentos 25 a 28.</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p>
      <w:r>
        <w:br w:type="page"/>
      </w:r>
    </w:p>
    <w:p>
      <w:pPr>
        <w:pStyle w:val="Heading1"/>
      </w:pPr>
      <w:r>
        <w:t>Acceso de clientes y actualizacion del dashboard</w:t>
      </w:r>
    </w:p>
    <w:p>
      <w:r>
        <w:t>Avance 015 del 26 de septiembre de 2026. Se prepararon dos entradas de acceso y un resumen de resultados para clientes. El servidor actualiza las conexiones al ingresar al dashboard, con un intervalo minimo de quince minutos por conexion. Este avance no despliega el backend online ni activa redes sin sus credenciales.</w:t>
      </w:r>
    </w:p>
    <w:p>
      <w:pPr>
        <w:pStyle w:val="Heading2"/>
      </w:pPr>
      <w:r>
        <w:t>Uso y permisos</w:t>
      </w:r>
    </w:p>
    <w:p>
      <w:r>
        <w:t>Los enlaces #/cuenta/admin y #/cuenta/client comparten la autenticacion existente. El servidor decide el rol real; elegir Administradores no concede privilegios. El administrador crea usuarios en la organizacion correspondiente desde Configuracion. Se propone una organizacion por empresa cliente, pendiente de confirmar si tambien se necesitan restricciones por usuario dentro de la empresa.</w:t>
      </w:r>
    </w:p>
    <w:p>
      <w:r>
        <w:t>El cliente ve comunidad, publicaciones, visualizaciones, likes y una tabla de impacto. Las metricas ausentes dicen No disponible. Sin cuentas conectadas no se muestran cifras demostrativas. Cuenta conserva las opciones de seguridad. La simplificacion visual no elimina los permisos analiticos de lectura de su organizacion por API.</w:t>
      </w:r>
    </w:p>
    <w:p>
      <w:pPr>
        <w:pStyle w:val="Heading2"/>
      </w:pPr>
      <w:r>
        <w:t>Actualizacion y validacion</w:t>
      </w:r>
    </w:p>
    <w:p>
      <w:r>
        <w:t>El refresco usa sesion, CSRF, organizacion activa y el bloqueo compartido. Se limita cada consulta a veinte segundos; ante fallo se conservan los datos anteriores. Los horarios existentes no se desactivan. Se aprobaron 66 pruebas automatizadas y se revisaron ambos accesos y el dashboard cliente en escritorio y movil con datos desechables.</w:t>
      </w:r>
    </w:p>
    <w:p>
      <w:pPr>
        <w:pStyle w:val="Heading2"/>
      </w:pPr>
      <w:r>
        <w:t>Decisiones y pendientes</w:t>
      </w:r>
    </w:p>
    <w:p>
      <w:r>
        <w:t>Se solicito alojamiento gratuito, prueba con datos reales y posterior uso diario. La gratuidad no garantiza continuidad ni APIs gratuitas para todas las redes. Existe correo empresarial, pero falta confirmar proveedor y configurar el envio. Siguen pendientes PostgreSQL, alojamiento, permisos sociales y validacion productiva. No se contrataron servicios. GitHub Pages sigue siendo una demostracion estatica.</w:t>
      </w:r>
    </w:p>
    <w:p>
      <w:r>
        <w:br w:type="page"/>
      </w:r>
    </w:p>
    <w:p>
      <w:pPr>
        <w:pStyle w:val="Heading1"/>
      </w:pPr>
      <w:r>
        <w:t>Vista de resultados para clientes</w:t>
      </w:r>
    </w:p>
    <w:p>
      <w:r>
        <w:t>Captura de verificacion con cuenta y proveedor simulados. El rotulo Datos oficiales corresponde al estado de interfaz probado, no a una conexion real activada. La metrica ausente se identifica sin inventar valores.</w:t>
      </w:r>
    </w:p>
    <w:p>
      <w:r>
        <w:drawing>
          <wp:inline xmlns:a="http://schemas.openxmlformats.org/drawingml/2006/main" xmlns:pic="http://schemas.openxmlformats.org/drawingml/2006/picture">
            <wp:extent cx="5760720" cy="4000500"/>
            <wp:docPr id="3" name="Picture 3"/>
            <wp:cNvGraphicFramePr>
              <a:graphicFrameLocks noChangeAspect="1"/>
            </wp:cNvGraphicFramePr>
            <a:graphic>
              <a:graphicData uri="http://schemas.openxmlformats.org/drawingml/2006/picture">
                <pic:pic>
                  <pic:nvPicPr>
                    <pic:cNvPr id="0" name="cliente-desktop.png"/>
                    <pic:cNvPicPr/>
                  </pic:nvPicPr>
                  <pic:blipFill>
                    <a:blip r:embed="rId12"/>
                    <a:stretch>
                      <a:fillRect/>
                    </a:stretch>
                  </pic:blipFill>
                  <pic:spPr>
                    <a:xfrm>
                      <a:off x="0" y="0"/>
                      <a:ext cx="5760720" cy="4000500"/>
                    </a:xfrm>
                    <a:prstGeom prst="rect"/>
                  </pic:spPr>
                </pic:pic>
              </a:graphicData>
            </a:graphic>
          </wp:inline>
        </w:drawing>
      </w:r>
    </w:p>
    <w:p>
      <w:r>
        <w:t>La revision movil se conserva en docs/assets/portal/cliente-mobile.png. Los dos accesos se documentan con las capturas de la misma carpeta. La guia tecnica completa esta en docs/32-portales-y-actualizacion-dashboard.md.</w:t>
      </w:r>
    </w:p>
    <w:p>
      <w:r>
        <w:br w:type="page"/>
      </w:r>
    </w:p>
    <w:p>
      <w:pPr>
        <w:pStyle w:val="Heading1"/>
      </w:pPr>
      <w:r>
        <w:t>Microsoft 365 y pruebas sin contratar alojamiento</w:t>
      </w:r>
    </w:p>
    <w:p>
      <w:r>
        <w:t>Avance 016 del 26 de septiembre de 2026. Se confirmo Microsoft 365, administrado por el jefe, y un piloto gratuito con pausas por inactividad aceptadas. Las empresas deben ver solo sus cuentas designadas y creceran gradualmente, sin un volumen inicial definido. Se pide iniciar pruebas cuanto antes y mantener desactivadas las APIs de pago.</w:t>
      </w:r>
    </w:p>
    <w:p>
      <w:pPr>
        <w:pStyle w:val="Heading2"/>
      </w:pPr>
      <w:r>
        <w:t>Lo implementado</w:t>
      </w:r>
    </w:p>
    <w:p>
      <w:r>
        <w:t>Se preparo el envio de verificaciones y recuperaciones mediante Microsoft Graph HTTPS. Usa credenciales de aplicacion y un buzon remitente fijo, no la contrasena del jefe. El token temporal se conserva solo en memoria. Las solicitudes tienen limite de tiempo y no siguen redirecciones. Los errores persistidos no guardan mensajes originales que puedan incluir claves o contenido privado. SMTP sigue disponible.</w:t>
      </w:r>
    </w:p>
    <w:p>
      <w:r>
        <w:t>X queda bloqueado por defecto aun si existen credenciales guardadas. El bloqueo abarca OAuth, sincronizacion manual, dashboard y trabajador programado. La interfaz indica Desactivada por presupuesto. No se contrataron servicios ni se activaron cuentas externas. Las 76 pruebas automatizadas pasaron con respuestas simuladas.</w:t>
      </w:r>
    </w:p>
    <w:p>
      <w:pPr>
        <w:pStyle w:val="Heading2"/>
      </w:pPr>
      <w:r>
        <w:t>Lo que aun no esta activo</w:t>
      </w:r>
    </w:p>
    <w:p>
      <w:r>
        <w:t>No se ha verificado un correo real. El jefe debe autorizar la aplicacion y limitar su permiso al buzon designado. La aceptacion HTTP 202 de Graph no garantiza entrega al destinatario. El sistema no reintenta automaticamente el envio para evitar duplicados. Faltan tambien PostgreSQL, backend online y validacion con redes reales. GitHub Pages sigue siendo una demo, no el sistema completo alojado.</w:t>
      </w:r>
    </w:p>
    <w:p>
      <w:pPr>
        <w:pStyle w:val="Heading2"/>
      </w:pPr>
      <w:r>
        <w:t>Asignacion por empresa</w:t>
      </w:r>
    </w:p>
    <w:p>
      <w:r>
        <w:t>El administrador crea o selecciona la organizacion, conecta sus cuentas y registra los usuarios Cliente dentro de esa empresa. No se deben mezclar empresas distintas en una misma organizacion. La asignacion actual no incluye compartir una cuenta entre empresas ni restringir usuarios individuales de una misma empresa.</w:t>
      </w:r>
    </w:p>
    <w:p>
      <w:r>
        <w:br w:type="page"/>
      </w:r>
    </w:p>
    <w:p>
      <w:pPr>
        <w:pStyle w:val="Heading1"/>
      </w:pPr>
      <w:r>
        <w:t>Pasos para iniciar el piloto</w:t>
      </w:r>
    </w:p>
    <w:p>
      <w:r>
        <w:t>El jefe de Microsoft 365 designa el buzon y autoriza la aplicacion con envio limitado mediante Exchange RBAC. El administrador prepara las cuentas gratuitas del alojamiento y de la base de datos. Los identificadores y secretos se configuran de forma privada en el servidor; nunca se publican en GitHub ni se envian contrasenas por el chat.</w:t>
      </w:r>
    </w:p>
    <w:p>
      <w:r>
        <w:t>Antes del piloto online se debe portar SQLite a PostgreSQL y validar permisos, correo, login, aislamiento y consultas reales con pocos usuarios. Las pausas y cuotas del plan gratuito no equivalen a continuidad garantizada. Toda API debe revisarse antes de activarla; el sistema no detecta cambios de tarifas externos.</w:t>
      </w:r>
    </w:p>
    <w:p>
      <w:r>
        <w:drawing>
          <wp:inline xmlns:a="http://schemas.openxmlformats.org/drawingml/2006/main" xmlns:pic="http://schemas.openxmlformats.org/drawingml/2006/picture">
            <wp:extent cx="4389120" cy="2710927"/>
            <wp:docPr id="4" name="Picture 4"/>
            <wp:cNvGraphicFramePr>
              <a:graphicFrameLocks noChangeAspect="1"/>
            </wp:cNvGraphicFramePr>
            <a:graphic>
              <a:graphicData uri="http://schemas.openxmlformats.org/drawingml/2006/picture">
                <pic:pic>
                  <pic:nvPicPr>
                    <pic:cNvPr id="0" name="x-bloqueado-desktop.png"/>
                    <pic:cNvPicPr/>
                  </pic:nvPicPr>
                  <pic:blipFill>
                    <a:blip r:embed="rId13"/>
                    <a:stretch>
                      <a:fillRect/>
                    </a:stretch>
                  </pic:blipFill>
                  <pic:spPr>
                    <a:xfrm>
                      <a:off x="0" y="0"/>
                      <a:ext cx="4389120" cy="2710927"/>
                    </a:xfrm>
                    <a:prstGeom prst="rect"/>
                  </pic:spPr>
                </pic:pic>
              </a:graphicData>
            </a:graphic>
          </wp:inline>
        </w:drawing>
      </w:r>
    </w:p>
    <w:p>
      <w:r>
        <w:t>Captura de verificacion local con datos desechables. La API de X permanece bloqueada por presupuesto. Se reviso la misma vista en escritorio y movil.</w:t>
      </w:r>
    </w:p>
    <w:p>
      <w:r>
        <w:t>Guia operativa y fuentes oficiales: docs/33-piloto-microsoft365-y-presupuesto.md. La guia especifica las variables del servidor y las comprobaciones de alcance que debe realizar el administrador de Microsoft 365.</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semanal Social Audit Pro 21 al 27 de septiembre de 2026</dc:title>
  <dc:subject>Estado verificable del desarrollo y pendientes</dc:subject>
  <dc:creator>Social Audit Pro Team</dc:creator>
  <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