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18"/>
        </w:rPr>
        <w:t>SOCIAL AUDIT PRO</w:t>
      </w:r>
    </w:p>
    <w:p>
      <w:pPr>
        <w:pStyle w:val="Title"/>
        <w:jc w:val="left"/>
      </w:pPr>
      <w:r>
        <w:t>Informe semanal del proyecto</w:t>
      </w:r>
    </w:p>
    <w:p>
      <w:pPr>
        <w:spacing w:after="320"/>
      </w:pPr>
      <w:r>
        <w:rPr>
          <w:rFonts w:ascii="Arial" w:hAnsi="Arial"/>
          <w:b/>
          <w:color w:val="000000"/>
          <w:sz w:val="28"/>
        </w:rPr>
        <w:t>Semana del 21 al 27 de septiembre de 2026</w:t>
      </w:r>
    </w:p>
    <w:p>
      <w:r>
        <w:t>Este informe presenta el avance verificable de la plataforma, explica que funciones quedaron implementadas y separa con precision el trabajo que aun depende de credenciales, aprobaciones o infraestructura externa.</w:t>
      </w:r>
    </w:p>
    <w:p>
      <w:r>
        <w:rPr>
          <w:b/>
        </w:rPr>
        <w:t xml:space="preserve">Conclusion principal. </w:t>
      </w:r>
      <w:r>
        <w:t>La version local ya cuenta con organizaciones, recuperacion de contrasena, verificacion de correo, MFA, sincronizacion automatica y conectores para las seis redes. Todavia no es un servicio productivo de alta disponibilidad.</w:t>
      </w:r>
    </w:p>
    <w:p>
      <w:r>
        <w:t>Version documentada  v0.5.8  |  Fecha de corte  26 de septiembre de 2026</w:t>
      </w:r>
    </w:p>
    <w:p>
      <w:r>
        <w:br w:type="page"/>
      </w:r>
    </w:p>
    <w:p>
      <w:pPr>
        <w:pStyle w:val="Heading1"/>
      </w:pPr>
      <w:r>
        <w:t>Solicitudes atendidas</w:t>
      </w:r>
    </w:p>
    <w:p>
      <w:r>
        <w:t>La solicitud de la semana concentro seguridad, multiempresa, integraciones oficiales, automatizacion y preparacion de produccion.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096"/>
        <w:gridCol w:w="4680"/>
        <w:gridCol w:w="1800"/>
      </w:tblGrid>
      <w:tr>
        <w:trPr>
          <w:tblHeader/>
          <w:cantSplit/>
        </w:trPr>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Solicitud</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Resultado</w:t>
            </w:r>
          </w:p>
        </w:tc>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Estado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Instagram Facebook TikTok LinkedIn y X</w:t>
            </w:r>
          </w:p>
        </w:tc>
        <w:tc>
          <w:tcPr>
            <w:tcW w:type="dxa" w:w="4680"/>
            <w:vAlign w:val="center"/>
            <w:tcMar>
              <w:top w:w="120" w:type="dxa"/>
              <w:start w:w="140" w:type="dxa"/>
              <w:bottom w:w="120" w:type="dxa"/>
              <w:end w:w="140" w:type="dxa"/>
            </w:tcMar>
            <w:shd w:fill="FFFFFF"/>
          </w:tcPr>
          <w:p>
            <w:pPr>
              <w:spacing w:after="0"/>
            </w:pPr>
            <w:r>
              <w:rPr>
                <w:rFonts w:ascii="Arial" w:hAnsi="Arial"/>
                <w:sz w:val="18"/>
              </w:rPr>
              <w:t>Adaptadores OAuth y normalizacion implementados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activacion externa</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Sincronizacion automatica</w:t>
            </w:r>
          </w:p>
        </w:tc>
        <w:tc>
          <w:tcPr>
            <w:tcW w:type="dxa" w:w="4680"/>
            <w:vAlign w:val="center"/>
            <w:tcMar>
              <w:top w:w="120" w:type="dxa"/>
              <w:start w:w="140" w:type="dxa"/>
              <w:bottom w:w="120" w:type="dxa"/>
              <w:end w:w="140" w:type="dxa"/>
            </w:tcMar>
            <w:shd w:fill="EEF3F8"/>
          </w:tcPr>
          <w:p>
            <w:pPr>
              <w:spacing w:after="0"/>
            </w:pPr>
            <w:r>
              <w:rPr>
                <w:rFonts w:ascii="Arial" w:hAnsi="Arial"/>
                <w:sz w:val="18"/>
              </w:rPr>
              <w:t>Programaciones, intervalos y trabajador con arrendamiento</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Backend base y autenticacion en produccion</w:t>
            </w:r>
          </w:p>
        </w:tc>
        <w:tc>
          <w:tcPr>
            <w:tcW w:type="dxa" w:w="4680"/>
            <w:vAlign w:val="center"/>
            <w:tcMar>
              <w:top w:w="120" w:type="dxa"/>
              <w:start w:w="140" w:type="dxa"/>
              <w:bottom w:w="120" w:type="dxa"/>
              <w:end w:w="140" w:type="dxa"/>
            </w:tcMar>
            <w:shd w:fill="FFFFFF"/>
          </w:tcPr>
          <w:p>
            <w:pPr>
              <w:spacing w:after="0"/>
            </w:pPr>
            <w:r>
              <w:rPr>
                <w:rFonts w:ascii="Arial" w:hAnsi="Arial"/>
                <w:sz w:val="18"/>
              </w:rPr>
              <w:t>Contenedor, validaciones y health checks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proveedor productivo</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Recuperacion verificacion y 2FA</w:t>
            </w:r>
          </w:p>
        </w:tc>
        <w:tc>
          <w:tcPr>
            <w:tcW w:type="dxa" w:w="4680"/>
            <w:vAlign w:val="center"/>
            <w:tcMar>
              <w:top w:w="120" w:type="dxa"/>
              <w:start w:w="140" w:type="dxa"/>
              <w:bottom w:w="120" w:type="dxa"/>
              <w:end w:w="140" w:type="dxa"/>
            </w:tcMar>
            <w:shd w:fill="EEF3F8"/>
          </w:tcPr>
          <w:p>
            <w:pPr>
              <w:spacing w:after="0"/>
            </w:pPr>
            <w:r>
              <w:rPr>
                <w:rFonts w:ascii="Arial" w:hAnsi="Arial"/>
                <w:sz w:val="18"/>
              </w:rPr>
              <w:t>Flujos completos con correo, TOTP y recuperacion</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Aislamiento entre empresas</w:t>
            </w:r>
          </w:p>
        </w:tc>
        <w:tc>
          <w:tcPr>
            <w:tcW w:type="dxa" w:w="4680"/>
            <w:vAlign w:val="center"/>
            <w:tcMar>
              <w:top w:w="120" w:type="dxa"/>
              <w:start w:w="140" w:type="dxa"/>
              <w:bottom w:w="120" w:type="dxa"/>
              <w:end w:w="140" w:type="dxa"/>
            </w:tcMar>
            <w:shd w:fill="FFFFFF"/>
          </w:tcPr>
          <w:p>
            <w:pPr>
              <w:spacing w:after="0"/>
            </w:pPr>
            <w:r>
              <w:rPr>
                <w:rFonts w:ascii="Arial" w:hAnsi="Arial"/>
                <w:sz w:val="18"/>
              </w:rPr>
              <w:t>Organizaciones, membresias y filtros por contexto</w:t>
            </w:r>
          </w:p>
        </w:tc>
        <w:tc>
          <w:tcPr>
            <w:tcW w:type="dxa" w:w="1800"/>
            <w:vAlign w:val="center"/>
            <w:tcMar>
              <w:top w:w="120" w:type="dxa"/>
              <w:start w:w="140" w:type="dxa"/>
              <w:bottom w:w="120" w:type="dxa"/>
              <w:end w:w="140" w:type="dxa"/>
            </w:tcMar>
            <w:shd w:fill="FFFFFF"/>
          </w:tcPr>
          <w:p>
            <w:pPr>
              <w:spacing w:after="0"/>
            </w:pPr>
            <w:r>
              <w:rPr>
                <w:rFonts w:ascii="Arial" w:hAnsi="Arial"/>
                <w:sz w:val="18"/>
              </w:rPr>
              <w:t>Implementado y sujeto a revision</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Multiples servidores</w:t>
            </w:r>
          </w:p>
        </w:tc>
        <w:tc>
          <w:tcPr>
            <w:tcW w:type="dxa" w:w="4680"/>
            <w:vAlign w:val="center"/>
            <w:tcMar>
              <w:top w:w="120" w:type="dxa"/>
              <w:start w:w="140" w:type="dxa"/>
              <w:bottom w:w="120" w:type="dxa"/>
              <w:end w:w="140" w:type="dxa"/>
            </w:tcMar>
            <w:shd w:fill="EEF3F8"/>
          </w:tcPr>
          <w:p>
            <w:pPr>
              <w:spacing w:after="0"/>
            </w:pPr>
            <w:r>
              <w:rPr>
                <w:rFonts w:ascii="Arial" w:hAnsi="Arial"/>
                <w:sz w:val="18"/>
              </w:rPr>
              <w:t>Bases tecnicas documentadas</w:t>
            </w:r>
          </w:p>
        </w:tc>
        <w:tc>
          <w:tcPr>
            <w:tcW w:type="dxa" w:w="1800"/>
            <w:vAlign w:val="center"/>
            <w:tcMar>
              <w:top w:w="120" w:type="dxa"/>
              <w:start w:w="140" w:type="dxa"/>
              <w:bottom w:w="120" w:type="dxa"/>
              <w:end w:w="140" w:type="dxa"/>
            </w:tcMar>
            <w:shd w:fill="EEF3F8"/>
          </w:tcPr>
          <w:p>
            <w:pPr>
              <w:spacing w:after="0"/>
            </w:pPr>
            <w:r>
              <w:rPr>
                <w:rFonts w:ascii="Arial" w:hAnsi="Arial"/>
                <w:sz w:val="18"/>
              </w:rPr>
              <w:t>Falta PostgreSQL y cola</w:t>
            </w:r>
          </w:p>
        </w:tc>
      </w:tr>
    </w:tbl>
    <w:p>
      <w:pPr>
        <w:pStyle w:val="Heading1"/>
      </w:pPr>
      <w:r>
        <w:t>Resultado funcional</w:t>
      </w:r>
    </w:p>
    <w:p>
      <w:pPr>
        <w:pStyle w:val="ListBullet"/>
        <w:spacing w:after="80"/>
      </w:pPr>
      <w:r>
        <w:t>Un usuario puede pertenecer a organizaciones y cambiar el contexto activo.</w:t>
      </w:r>
    </w:p>
    <w:p>
      <w:pPr>
        <w:pStyle w:val="ListBullet"/>
        <w:spacing w:after="80"/>
      </w:pPr>
      <w:r>
        <w:t>Los datos de cuentas, analitica, reportes, actividad e integraciones se filtran por organizacion.</w:t>
      </w:r>
    </w:p>
    <w:p>
      <w:pPr>
        <w:pStyle w:val="ListBullet"/>
        <w:spacing w:after="80"/>
      </w:pPr>
      <w:r>
        <w:t>El correo se verifica antes de un nuevo login y la contrasena puede restablecerse con enlace temporal.</w:t>
      </w:r>
    </w:p>
    <w:p>
      <w:pPr>
        <w:pStyle w:val="ListBullet"/>
        <w:spacing w:after="80"/>
      </w:pPr>
      <w:r>
        <w:t>MFA permite alta por QR, codigos TOTP y codigos de recuperacion.</w:t>
      </w:r>
    </w:p>
    <w:p>
      <w:pPr>
        <w:pStyle w:val="ListBullet"/>
        <w:spacing w:after="80"/>
      </w:pPr>
      <w:r>
        <w:t>Las conexiones pueden sincronizarse manualmente o con intervalos programados.</w:t>
      </w:r>
    </w:p>
    <w:p>
      <w:pPr>
        <w:pStyle w:val="ListBullet"/>
        <w:spacing w:after="80"/>
      </w:pPr>
      <w:r>
        <w:t>Los seis proveedores comparten una ruta OAuth y un contrato normalizado de datos.</w:t>
      </w:r>
    </w:p>
    <w:p>
      <w:pPr>
        <w:keepNext/>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integraciones-desktop.png"/>
                    <pic:cNvPicPr/>
                  </pic:nvPicPr>
                  <pic:blipFill>
                    <a:blip r:embed="rId10"/>
                    <a:stretch>
                      <a:fillRect/>
                    </a:stretch>
                  </pic:blipFill>
                  <pic:spPr>
                    <a:xfrm>
                      <a:off x="0" y="0"/>
                      <a:ext cx="6080760" cy="3800475"/>
                    </a:xfrm>
                    <a:prstGeom prst="rect"/>
                  </pic:spPr>
                </pic:pic>
              </a:graphicData>
            </a:graphic>
          </wp:inline>
        </w:drawing>
      </w:r>
    </w:p>
    <w:p>
      <w:pPr>
        <w:spacing w:before="60" w:after="200"/>
        <w:jc w:val="center"/>
      </w:pPr>
      <w:r>
        <w:rPr>
          <w:rFonts w:ascii="Arial" w:hAnsi="Arial"/>
          <w:i/>
          <w:color w:val="5C6670"/>
          <w:sz w:val="18"/>
        </w:rPr>
        <w:t>Figura 1  Vista de Integraciones utilizada para administrar proveedores</w:t>
      </w:r>
    </w:p>
    <w:p>
      <w:r>
        <w:br w:type="page"/>
      </w:r>
    </w:p>
    <w:p>
      <w:pPr>
        <w:pStyle w:val="Heading1"/>
      </w:pPr>
      <w:r>
        <w:t>Arquitectura alcanzada</w:t>
      </w:r>
    </w:p>
    <w:p>
      <w:r>
        <w:t>El frontend consume una API Express. La API aplica identidad, permisos y contexto de organizacion antes de consultar SQLite. Los adaptadores externos normalizan respuestas y el trabajador procesa las tareas programadas.</w:t>
      </w:r>
    </w:p>
    <w:p>
      <w:pPr>
        <w:keepNext/>
        <w:jc w:val="center"/>
      </w:pPr>
      <w:r>
        <w:drawing>
          <wp:inline xmlns:a="http://schemas.openxmlformats.org/drawingml/2006/main" xmlns:pic="http://schemas.openxmlformats.org/drawingml/2006/picture">
            <wp:extent cx="5806440" cy="1783407"/>
            <wp:docPr id="2" name="Picture 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806440" cy="1783407"/>
                    </a:xfrm>
                    <a:prstGeom prst="rect"/>
                  </pic:spPr>
                </pic:pic>
              </a:graphicData>
            </a:graphic>
          </wp:inline>
        </w:drawing>
      </w:r>
    </w:p>
    <w:p>
      <w:pPr>
        <w:spacing w:before="60" w:after="200"/>
        <w:jc w:val="center"/>
      </w:pPr>
      <w:r>
        <w:rPr>
          <w:rFonts w:ascii="Arial" w:hAnsi="Arial"/>
          <w:i/>
          <w:color w:val="5C6670"/>
          <w:sz w:val="18"/>
        </w:rPr>
        <w:t>Figura 2  Capas principales de la aplicacion local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7056"/>
      </w:tblGrid>
      <w:tr>
        <w:trPr>
          <w:tblHeader/>
          <w:cantSplit/>
        </w:trPr>
        <w:tc>
          <w:tcPr>
            <w:tcW w:type="dxa" w:w="2520"/>
            <w:vAlign w:val="center"/>
            <w:tcMar>
              <w:top w:w="120" w:type="dxa"/>
              <w:start w:w="140" w:type="dxa"/>
              <w:bottom w:w="120" w:type="dxa"/>
              <w:end w:w="140" w:type="dxa"/>
            </w:tcMar>
            <w:shd w:fill="17324D"/>
          </w:tcPr>
          <w:p>
            <w:pPr>
              <w:spacing w:after="0"/>
            </w:pPr>
            <w:r>
              <w:rPr>
                <w:rFonts w:ascii="Arial" w:hAnsi="Arial"/>
                <w:b/>
                <w:color w:val="FFFFFF"/>
                <w:sz w:val="18"/>
              </w:rPr>
              <w:t>Componente</w:t>
            </w:r>
          </w:p>
        </w:tc>
        <w:tc>
          <w:tcPr>
            <w:tcW w:type="dxa" w:w="7056"/>
            <w:vAlign w:val="center"/>
            <w:tcMar>
              <w:top w:w="120" w:type="dxa"/>
              <w:start w:w="140" w:type="dxa"/>
              <w:bottom w:w="120" w:type="dxa"/>
              <w:end w:w="140" w:type="dxa"/>
            </w:tcMar>
            <w:shd w:fill="17324D"/>
          </w:tcPr>
          <w:p>
            <w:pPr>
              <w:spacing w:after="0"/>
            </w:pPr>
            <w:r>
              <w:rPr>
                <w:rFonts w:ascii="Arial" w:hAnsi="Arial"/>
                <w:b/>
                <w:color w:val="FFFFFF"/>
                <w:sz w:val="18"/>
              </w:rPr>
              <w:t>Responsabilidad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Frontend</w:t>
            </w:r>
          </w:p>
        </w:tc>
        <w:tc>
          <w:tcPr>
            <w:tcW w:type="dxa" w:w="7056"/>
            <w:vAlign w:val="center"/>
            <w:tcMar>
              <w:top w:w="120" w:type="dxa"/>
              <w:start w:w="140" w:type="dxa"/>
              <w:bottom w:w="120" w:type="dxa"/>
              <w:end w:w="140" w:type="dxa"/>
            </w:tcMar>
            <w:shd w:fill="FFFFFF"/>
          </w:tcPr>
          <w:p>
            <w:pPr>
              <w:spacing w:after="0"/>
            </w:pPr>
            <w:r>
              <w:rPr>
                <w:rFonts w:ascii="Arial" w:hAnsi="Arial"/>
                <w:sz w:val="18"/>
              </w:rPr>
              <w:t>Navegacion, formularios, filtros y presentacion de resultados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API</w:t>
            </w:r>
          </w:p>
        </w:tc>
        <w:tc>
          <w:tcPr>
            <w:tcW w:type="dxa" w:w="7056"/>
            <w:vAlign w:val="center"/>
            <w:tcMar>
              <w:top w:w="120" w:type="dxa"/>
              <w:start w:w="140" w:type="dxa"/>
              <w:bottom w:w="120" w:type="dxa"/>
              <w:end w:w="140" w:type="dxa"/>
            </w:tcMar>
            <w:shd w:fill="EEF3F8"/>
          </w:tcPr>
          <w:p>
            <w:pPr>
              <w:spacing w:after="0"/>
            </w:pPr>
            <w:r>
              <w:rPr>
                <w:rFonts w:ascii="Arial" w:hAnsi="Arial"/>
                <w:sz w:val="18"/>
              </w:rPr>
              <w:t>Autorizacion, validacion, orquestacion y respuestas REST</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Identidad</w:t>
            </w:r>
          </w:p>
        </w:tc>
        <w:tc>
          <w:tcPr>
            <w:tcW w:type="dxa" w:w="7056"/>
            <w:vAlign w:val="center"/>
            <w:tcMar>
              <w:top w:w="120" w:type="dxa"/>
              <w:start w:w="140" w:type="dxa"/>
              <w:bottom w:w="120" w:type="dxa"/>
              <w:end w:w="140" w:type="dxa"/>
            </w:tcMar>
            <w:shd w:fill="FFFFFF"/>
          </w:tcPr>
          <w:p>
            <w:pPr>
              <w:spacing w:after="0"/>
            </w:pPr>
            <w:r>
              <w:rPr>
                <w:rFonts w:ascii="Arial" w:hAnsi="Arial"/>
                <w:sz w:val="18"/>
              </w:rPr>
              <w:t>Sesiones, correo, recuperacion, MFA, CSRF y roles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Integraciones</w:t>
            </w:r>
          </w:p>
        </w:tc>
        <w:tc>
          <w:tcPr>
            <w:tcW w:type="dxa" w:w="7056"/>
            <w:vAlign w:val="center"/>
            <w:tcMar>
              <w:top w:w="120" w:type="dxa"/>
              <w:start w:w="140" w:type="dxa"/>
              <w:bottom w:w="120" w:type="dxa"/>
              <w:end w:w="140" w:type="dxa"/>
            </w:tcMar>
            <w:shd w:fill="EEF3F8"/>
          </w:tcPr>
          <w:p>
            <w:pPr>
              <w:spacing w:after="0"/>
            </w:pPr>
            <w:r>
              <w:rPr>
                <w:rFonts w:ascii="Arial" w:hAnsi="Arial"/>
                <w:sz w:val="18"/>
              </w:rPr>
              <w:t>OAuth, renovacion, consulta y normalizacion por red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Trabajador</w:t>
            </w:r>
          </w:p>
        </w:tc>
        <w:tc>
          <w:tcPr>
            <w:tcW w:type="dxa" w:w="7056"/>
            <w:vAlign w:val="center"/>
            <w:tcMar>
              <w:top w:w="120" w:type="dxa"/>
              <w:start w:w="140" w:type="dxa"/>
              <w:bottom w:w="120" w:type="dxa"/>
              <w:end w:w="140" w:type="dxa"/>
            </w:tcMar>
            <w:shd w:fill="FFFFFF"/>
          </w:tcPr>
          <w:p>
            <w:pPr>
              <w:spacing w:after="0"/>
            </w:pPr>
            <w:r>
              <w:rPr>
                <w:rFonts w:ascii="Arial" w:hAnsi="Arial"/>
                <w:sz w:val="18"/>
              </w:rPr>
              <w:t>Reclamo y ejecucion de sincronizaciones vencidas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Persistencia</w:t>
            </w:r>
          </w:p>
        </w:tc>
        <w:tc>
          <w:tcPr>
            <w:tcW w:type="dxa" w:w="7056"/>
            <w:vAlign w:val="center"/>
            <w:tcMar>
              <w:top w:w="120" w:type="dxa"/>
              <w:start w:w="140" w:type="dxa"/>
              <w:bottom w:w="120" w:type="dxa"/>
              <w:end w:w="140" w:type="dxa"/>
            </w:tcMar>
            <w:shd w:fill="EEF3F8"/>
          </w:tcPr>
          <w:p>
            <w:pPr>
              <w:spacing w:after="0"/>
            </w:pPr>
            <w:r>
              <w:rPr>
                <w:rFonts w:ascii="Arial" w:hAnsi="Arial"/>
                <w:sz w:val="18"/>
              </w:rPr>
              <w:t>Organizaciones, historicos, tokens cifrados, reportes y actividad</w:t>
            </w:r>
          </w:p>
        </w:tc>
      </w:tr>
    </w:tbl>
    <w:p>
      <w:r>
        <w:br w:type="page"/>
      </w:r>
    </w:p>
    <w:p>
      <w:pPr>
        <w:pStyle w:val="Heading1"/>
      </w:pPr>
      <w:r>
        <w:t>Seguridad y aislamiento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4392"/>
        <w:gridCol w:w="3240"/>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Control</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240"/>
            <w:vAlign w:val="center"/>
            <w:tcMar>
              <w:top w:w="120" w:type="dxa"/>
              <w:start w:w="140" w:type="dxa"/>
              <w:bottom w:w="120" w:type="dxa"/>
              <w:end w:w="140" w:type="dxa"/>
            </w:tcMar>
            <w:shd w:fill="17324D"/>
          </w:tcPr>
          <w:p>
            <w:pPr>
              <w:spacing w:after="0"/>
            </w:pPr>
            <w:r>
              <w:rPr>
                <w:rFonts w:ascii="Arial" w:hAnsi="Arial"/>
                <w:b/>
                <w:color w:val="FFFFFF"/>
                <w:sz w:val="18"/>
              </w:rPr>
              <w:t>Riesgo restante</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Correo</w:t>
            </w:r>
          </w:p>
        </w:tc>
        <w:tc>
          <w:tcPr>
            <w:tcW w:type="dxa" w:w="4392"/>
            <w:vAlign w:val="center"/>
            <w:tcMar>
              <w:top w:w="120" w:type="dxa"/>
              <w:start w:w="140" w:type="dxa"/>
              <w:bottom w:w="120" w:type="dxa"/>
              <w:end w:w="140" w:type="dxa"/>
            </w:tcMar>
            <w:shd w:fill="FFFFFF"/>
          </w:tcPr>
          <w:p>
            <w:pPr>
              <w:spacing w:after="0"/>
            </w:pPr>
            <w:r>
              <w:rPr>
                <w:rFonts w:ascii="Arial" w:hAnsi="Arial"/>
                <w:sz w:val="18"/>
              </w:rPr>
              <w:t>Token con hash, expiracion y uso unico</w:t>
            </w:r>
          </w:p>
        </w:tc>
        <w:tc>
          <w:tcPr>
            <w:tcW w:type="dxa" w:w="3240"/>
            <w:vAlign w:val="center"/>
            <w:tcMar>
              <w:top w:w="120" w:type="dxa"/>
              <w:start w:w="140" w:type="dxa"/>
              <w:bottom w:w="120" w:type="dxa"/>
              <w:end w:w="140" w:type="dxa"/>
            </w:tcMar>
            <w:shd w:fill="FFFFFF"/>
          </w:tcPr>
          <w:p>
            <w:pPr>
              <w:spacing w:after="0"/>
            </w:pPr>
            <w:r>
              <w:rPr>
                <w:rFonts w:ascii="Arial" w:hAnsi="Arial"/>
                <w:sz w:val="18"/>
              </w:rPr>
              <w:t>Configurar SMTP y dominio</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Contrasenas</w:t>
            </w:r>
          </w:p>
        </w:tc>
        <w:tc>
          <w:tcPr>
            <w:tcW w:type="dxa" w:w="4392"/>
            <w:vAlign w:val="center"/>
            <w:tcMar>
              <w:top w:w="120" w:type="dxa"/>
              <w:start w:w="140" w:type="dxa"/>
              <w:bottom w:w="120" w:type="dxa"/>
              <w:end w:w="140" w:type="dxa"/>
            </w:tcMar>
            <w:shd w:fill="EEF3F8"/>
          </w:tcPr>
          <w:p>
            <w:pPr>
              <w:spacing w:after="0"/>
            </w:pPr>
            <w:r>
              <w:rPr>
                <w:rFonts w:ascii="Arial" w:hAnsi="Arial"/>
                <w:sz w:val="18"/>
              </w:rPr>
              <w:t>scrypt y revocacion de sesiones al restablecer</w:t>
            </w:r>
          </w:p>
        </w:tc>
        <w:tc>
          <w:tcPr>
            <w:tcW w:type="dxa" w:w="3240"/>
            <w:vAlign w:val="center"/>
            <w:tcMar>
              <w:top w:w="120" w:type="dxa"/>
              <w:start w:w="140" w:type="dxa"/>
              <w:bottom w:w="120" w:type="dxa"/>
              <w:end w:w="140" w:type="dxa"/>
            </w:tcMar>
            <w:shd w:fill="EEF3F8"/>
          </w:tcPr>
          <w:p>
            <w:pPr>
              <w:spacing w:after="0"/>
            </w:pPr>
            <w:r>
              <w:rPr>
                <w:rFonts w:ascii="Arial" w:hAnsi="Arial"/>
                <w:sz w:val="18"/>
              </w:rPr>
              <w:t>Agregar monitoreo de abuso</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MFA</w:t>
            </w:r>
          </w:p>
        </w:tc>
        <w:tc>
          <w:tcPr>
            <w:tcW w:type="dxa" w:w="4392"/>
            <w:vAlign w:val="center"/>
            <w:tcMar>
              <w:top w:w="120" w:type="dxa"/>
              <w:start w:w="140" w:type="dxa"/>
              <w:bottom w:w="120" w:type="dxa"/>
              <w:end w:w="140" w:type="dxa"/>
            </w:tcMar>
            <w:shd w:fill="FFFFFF"/>
          </w:tcPr>
          <w:p>
            <w:pPr>
              <w:spacing w:after="0"/>
            </w:pPr>
            <w:r>
              <w:rPr>
                <w:rFonts w:ascii="Arial" w:hAnsi="Arial"/>
                <w:sz w:val="18"/>
              </w:rPr>
              <w:t>TOTP cifrado y codigos de recuperacion con hash</w:t>
            </w:r>
          </w:p>
        </w:tc>
        <w:tc>
          <w:tcPr>
            <w:tcW w:type="dxa" w:w="3240"/>
            <w:vAlign w:val="center"/>
            <w:tcMar>
              <w:top w:w="120" w:type="dxa"/>
              <w:start w:w="140" w:type="dxa"/>
              <w:bottom w:w="120" w:type="dxa"/>
              <w:end w:w="140" w:type="dxa"/>
            </w:tcMar>
            <w:shd w:fill="FFFFFF"/>
          </w:tcPr>
          <w:p>
            <w:pPr>
              <w:spacing w:after="0"/>
            </w:pPr>
            <w:r>
              <w:rPr>
                <w:rFonts w:ascii="Arial" w:hAnsi="Arial"/>
                <w:sz w:val="18"/>
              </w:rPr>
              <w:t>Probar recuperacion operativa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OAuth</w:t>
            </w:r>
          </w:p>
        </w:tc>
        <w:tc>
          <w:tcPr>
            <w:tcW w:type="dxa" w:w="4392"/>
            <w:vAlign w:val="center"/>
            <w:tcMar>
              <w:top w:w="120" w:type="dxa"/>
              <w:start w:w="140" w:type="dxa"/>
              <w:bottom w:w="120" w:type="dxa"/>
              <w:end w:w="140" w:type="dxa"/>
            </w:tcMar>
            <w:shd w:fill="EEF3F8"/>
          </w:tcPr>
          <w:p>
            <w:pPr>
              <w:spacing w:after="0"/>
            </w:pPr>
            <w:r>
              <w:rPr>
                <w:rFonts w:ascii="Arial" w:hAnsi="Arial"/>
                <w:sz w:val="18"/>
              </w:rPr>
              <w:t>Estado de un uso, cifrado y PKCE cuando aplica</w:t>
            </w:r>
          </w:p>
        </w:tc>
        <w:tc>
          <w:tcPr>
            <w:tcW w:type="dxa" w:w="3240"/>
            <w:vAlign w:val="center"/>
            <w:tcMar>
              <w:top w:w="120" w:type="dxa"/>
              <w:start w:w="140" w:type="dxa"/>
              <w:bottom w:w="120" w:type="dxa"/>
              <w:end w:w="140" w:type="dxa"/>
            </w:tcMar>
            <w:shd w:fill="EEF3F8"/>
          </w:tcPr>
          <w:p>
            <w:pPr>
              <w:spacing w:after="0"/>
            </w:pPr>
            <w:r>
              <w:rPr>
                <w:rFonts w:ascii="Arial" w:hAnsi="Arial"/>
                <w:sz w:val="18"/>
              </w:rPr>
              <w:t>Validar revocacion por proveedor</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392"/>
            <w:vAlign w:val="center"/>
            <w:tcMar>
              <w:top w:w="120" w:type="dxa"/>
              <w:start w:w="140" w:type="dxa"/>
              <w:bottom w:w="120" w:type="dxa"/>
              <w:end w:w="140" w:type="dxa"/>
            </w:tcMar>
            <w:shd w:fill="FFFFFF"/>
          </w:tcPr>
          <w:p>
            <w:pPr>
              <w:spacing w:after="0"/>
            </w:pPr>
            <w:r>
              <w:rPr>
                <w:rFonts w:ascii="Arial" w:hAnsi="Arial"/>
                <w:sz w:val="18"/>
              </w:rPr>
              <w:t>Contexto en sesion y filtros de recursos</w:t>
            </w:r>
          </w:p>
        </w:tc>
        <w:tc>
          <w:tcPr>
            <w:tcW w:type="dxa" w:w="3240"/>
            <w:vAlign w:val="center"/>
            <w:tcMar>
              <w:top w:w="120" w:type="dxa"/>
              <w:start w:w="140" w:type="dxa"/>
              <w:bottom w:w="120" w:type="dxa"/>
              <w:end w:w="140" w:type="dxa"/>
            </w:tcMar>
            <w:shd w:fill="FFFFFF"/>
          </w:tcPr>
          <w:p>
            <w:pPr>
              <w:spacing w:after="0"/>
            </w:pPr>
            <w:r>
              <w:rPr>
                <w:rFonts w:ascii="Arial" w:hAnsi="Arial"/>
                <w:sz w:val="18"/>
              </w:rPr>
              <w:t>Revision externa de autorizacion</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Produccion</w:t>
            </w:r>
          </w:p>
        </w:tc>
        <w:tc>
          <w:tcPr>
            <w:tcW w:type="dxa" w:w="4392"/>
            <w:vAlign w:val="center"/>
            <w:tcMar>
              <w:top w:w="120" w:type="dxa"/>
              <w:start w:w="140" w:type="dxa"/>
              <w:bottom w:w="120" w:type="dxa"/>
              <w:end w:w="140" w:type="dxa"/>
            </w:tcMar>
            <w:shd w:fill="EEF3F8"/>
          </w:tcPr>
          <w:p>
            <w:pPr>
              <w:spacing w:after="0"/>
            </w:pPr>
            <w:r>
              <w:rPr>
                <w:rFonts w:ascii="Arial" w:hAnsi="Arial"/>
                <w:sz w:val="18"/>
              </w:rPr>
              <w:t>HTTPS y secreto validados al iniciar</w:t>
            </w:r>
          </w:p>
        </w:tc>
        <w:tc>
          <w:tcPr>
            <w:tcW w:type="dxa" w:w="3240"/>
            <w:vAlign w:val="center"/>
            <w:tcMar>
              <w:top w:w="120" w:type="dxa"/>
              <w:start w:w="140" w:type="dxa"/>
              <w:bottom w:w="120" w:type="dxa"/>
              <w:end w:w="140" w:type="dxa"/>
            </w:tcMar>
            <w:shd w:fill="EEF3F8"/>
          </w:tcPr>
          <w:p>
            <w:pPr>
              <w:spacing w:after="0"/>
            </w:pPr>
            <w:r>
              <w:rPr>
                <w:rFonts w:ascii="Arial" w:hAnsi="Arial"/>
                <w:sz w:val="18"/>
              </w:rPr>
              <w:t>Gestor externo de secretos</w:t>
            </w:r>
          </w:p>
        </w:tc>
      </w:tr>
    </w:tbl>
    <w:p>
      <w:pPr>
        <w:pStyle w:val="Heading2"/>
      </w:pPr>
      <w:r>
        <w:t>Pruebas ejecutadas</w:t>
      </w:r>
    </w:p>
    <w:p>
      <w:pPr>
        <w:pStyle w:val="ListBullet"/>
        <w:spacing w:after="80"/>
      </w:pPr>
      <w:r>
        <w:t>25 pruebas automatizadas ejecutadas y aprobadas.</w:t>
      </w:r>
    </w:p>
    <w:p>
      <w:pPr>
        <w:pStyle w:val="ListBullet"/>
        <w:spacing w:after="80"/>
      </w:pPr>
      <w:r>
        <w:t>OAuth generico PKCE comprobado desde el inicio hasta el token cifrado.</w:t>
      </w:r>
    </w:p>
    <w:p>
      <w:pPr>
        <w:pStyle w:val="ListBullet"/>
        <w:spacing w:after="80"/>
      </w:pPr>
      <w:r>
        <w:t>Normalizacion simulada comprobada para TikTok, X, Facebook, Instagram y LinkedIn.</w:t>
      </w:r>
    </w:p>
    <w:p>
      <w:pPr>
        <w:pStyle w:val="ListBullet"/>
        <w:spacing w:after="80"/>
      </w:pPr>
      <w:r>
        <w:t>Dos trabajadores comprobados contra una misma tarea para evitar ejecucion duplicada.</w:t>
      </w:r>
    </w:p>
    <w:p>
      <w:pPr>
        <w:pStyle w:val="ListBullet"/>
        <w:spacing w:after="80"/>
      </w:pPr>
      <w:r>
        <w:t>Aislamiento entre dos organizaciones comprobado en analitica y reportes.</w:t>
      </w:r>
    </w:p>
    <w:p>
      <w:pPr>
        <w:pStyle w:val="ListBullet"/>
        <w:spacing w:after="80"/>
      </w:pPr>
      <w:r>
        <w:t>Compilacion de la demostracion publica completada.</w:t>
      </w:r>
    </w:p>
    <w:p>
      <w:pPr>
        <w:pStyle w:val="Heading2"/>
      </w:pPr>
      <w:r>
        <w:t>Datos y privacidad</w:t>
      </w:r>
    </w:p>
    <w:p>
      <w:r>
        <w:t>No se agregaron secretos reales, nombres personales ni sesiones al repositorio. La demostracion de GitHub Pages conserva datos de muestra y no puede acceder a la base local.</w:t>
      </w:r>
    </w:p>
    <w:p>
      <w:r>
        <w:br w:type="page"/>
      </w:r>
    </w:p>
    <w:p>
      <w:pPr>
        <w:pStyle w:val="Heading1"/>
      </w:pPr>
      <w:r>
        <w:t>Conectores y activacion externa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4392"/>
        <w:gridCol w:w="3528"/>
      </w:tblGrid>
      <w:tr>
        <w:trPr>
          <w:tblHeader/>
          <w:cantSplit/>
        </w:trPr>
        <w:tc>
          <w:tcPr>
            <w:tcW w:type="dxa" w:w="1656"/>
            <w:vAlign w:val="center"/>
            <w:tcMar>
              <w:top w:w="120" w:type="dxa"/>
              <w:start w:w="140" w:type="dxa"/>
              <w:bottom w:w="120" w:type="dxa"/>
              <w:end w:w="140" w:type="dxa"/>
            </w:tcMar>
            <w:shd w:fill="17324D"/>
          </w:tcPr>
          <w:p>
            <w:pPr>
              <w:spacing w:after="0"/>
            </w:pPr>
            <w:r>
              <w:rPr>
                <w:rFonts w:ascii="Arial" w:hAnsi="Arial"/>
                <w:b/>
                <w:color w:val="FFFFFF"/>
                <w:sz w:val="18"/>
              </w:rPr>
              <w:t>Red</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Listo en codigo</w:t>
            </w:r>
          </w:p>
        </w:tc>
        <w:tc>
          <w:tcPr>
            <w:tcW w:type="dxa" w:w="3528"/>
            <w:vAlign w:val="center"/>
            <w:tcMar>
              <w:top w:w="120" w:type="dxa"/>
              <w:start w:w="140" w:type="dxa"/>
              <w:bottom w:w="120" w:type="dxa"/>
              <w:end w:w="140" w:type="dxa"/>
            </w:tcMar>
            <w:shd w:fill="17324D"/>
          </w:tcPr>
          <w:p>
            <w:pPr>
              <w:spacing w:after="0"/>
            </w:pPr>
            <w:r>
              <w:rPr>
                <w:rFonts w:ascii="Arial" w:hAnsi="Arial"/>
                <w:b/>
                <w:color w:val="FFFFFF"/>
                <w:sz w:val="18"/>
              </w:rPr>
              <w:t>Necesario para activarla</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YouTube</w:t>
            </w:r>
          </w:p>
        </w:tc>
        <w:tc>
          <w:tcPr>
            <w:tcW w:type="dxa" w:w="4392"/>
            <w:vAlign w:val="center"/>
            <w:tcMar>
              <w:top w:w="120" w:type="dxa"/>
              <w:start w:w="140" w:type="dxa"/>
              <w:bottom w:w="120" w:type="dxa"/>
              <w:end w:w="140" w:type="dxa"/>
            </w:tcMar>
            <w:shd w:fill="FFFFFF"/>
          </w:tcPr>
          <w:p>
            <w:pPr>
              <w:spacing w:after="0"/>
            </w:pPr>
            <w:r>
              <w:rPr>
                <w:rFonts w:ascii="Arial" w:hAnsi="Arial"/>
                <w:sz w:val="18"/>
              </w:rPr>
              <w:t>OAuth, consulta, renovacion y persistencia</w:t>
            </w:r>
          </w:p>
        </w:tc>
        <w:tc>
          <w:tcPr>
            <w:tcW w:type="dxa" w:w="3528"/>
            <w:vAlign w:val="center"/>
            <w:tcMar>
              <w:top w:w="120" w:type="dxa"/>
              <w:start w:w="140" w:type="dxa"/>
              <w:bottom w:w="120" w:type="dxa"/>
              <w:end w:w="140" w:type="dxa"/>
            </w:tcMar>
            <w:shd w:fill="FFFFFF"/>
          </w:tcPr>
          <w:p>
            <w:pPr>
              <w:spacing w:after="0"/>
            </w:pPr>
            <w:r>
              <w:rPr>
                <w:rFonts w:ascii="Arial" w:hAnsi="Arial"/>
                <w:sz w:val="18"/>
              </w:rPr>
              <w:t>Cliente OAuth y APIs de Google</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Instagram</w:t>
            </w:r>
          </w:p>
        </w:tc>
        <w:tc>
          <w:tcPr>
            <w:tcW w:type="dxa" w:w="4392"/>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528"/>
            <w:vAlign w:val="center"/>
            <w:tcMar>
              <w:top w:w="120" w:type="dxa"/>
              <w:start w:w="140" w:type="dxa"/>
              <w:bottom w:w="120" w:type="dxa"/>
              <w:end w:w="140" w:type="dxa"/>
            </w:tcMar>
            <w:shd w:fill="EEF3F8"/>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Facebook</w:t>
            </w:r>
          </w:p>
        </w:tc>
        <w:tc>
          <w:tcPr>
            <w:tcW w:type="dxa" w:w="4392"/>
            <w:vAlign w:val="center"/>
            <w:tcMar>
              <w:top w:w="120" w:type="dxa"/>
              <w:start w:w="140" w:type="dxa"/>
              <w:bottom w:w="120" w:type="dxa"/>
              <w:end w:w="140" w:type="dxa"/>
            </w:tcMar>
            <w:shd w:fill="FFFFFF"/>
          </w:tcPr>
          <w:p>
            <w:pPr>
              <w:spacing w:after="0"/>
            </w:pPr>
            <w:r>
              <w:rPr>
                <w:rFonts w:ascii="Arial" w:hAnsi="Arial"/>
                <w:sz w:val="18"/>
              </w:rPr>
              <w:t>Paginas, publicaciones y token de pagina</w:t>
            </w:r>
          </w:p>
        </w:tc>
        <w:tc>
          <w:tcPr>
            <w:tcW w:type="dxa" w:w="3528"/>
            <w:vAlign w:val="center"/>
            <w:tcMar>
              <w:top w:w="120" w:type="dxa"/>
              <w:start w:w="140" w:type="dxa"/>
              <w:bottom w:w="120" w:type="dxa"/>
              <w:end w:w="140" w:type="dxa"/>
            </w:tcMar>
            <w:shd w:fill="FFFFFF"/>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TikTok</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videos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Aplicacion y productos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LinkedIn</w:t>
            </w:r>
          </w:p>
        </w:tc>
        <w:tc>
          <w:tcPr>
            <w:tcW w:type="dxa" w:w="4392"/>
            <w:vAlign w:val="center"/>
            <w:tcMar>
              <w:top w:w="120" w:type="dxa"/>
              <w:start w:w="140" w:type="dxa"/>
              <w:bottom w:w="120" w:type="dxa"/>
              <w:end w:w="140" w:type="dxa"/>
            </w:tcMar>
            <w:shd w:fill="FFFFFF"/>
          </w:tcPr>
          <w:p>
            <w:pPr>
              <w:spacing w:after="0"/>
            </w:pPr>
            <w:r>
              <w:rPr>
                <w:rFonts w:ascii="Arial" w:hAnsi="Arial"/>
                <w:sz w:val="18"/>
              </w:rPr>
              <w:t>Pagina, seguidores y estadisticas</w:t>
            </w:r>
          </w:p>
        </w:tc>
        <w:tc>
          <w:tcPr>
            <w:tcW w:type="dxa" w:w="3528"/>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X</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publicaciones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Proyecto, plan y cuotas</w:t>
            </w:r>
          </w:p>
        </w:tc>
      </w:tr>
    </w:tbl>
    <w:p>
      <w:r>
        <w:t>La implementacion se considera preparada para activacion, no conectada. Los proveedores pueden modificar scopes, versiones y limites; por eso cada alta requiere una revision de la documentacion oficial y una prueba con cuenta autorizada.</w:t>
      </w:r>
    </w:p>
    <w:p>
      <w:pPr>
        <w:pStyle w:val="Heading1"/>
      </w:pPr>
      <w:r>
        <w:t>Produccion y alta disponibilidad</w:t>
      </w:r>
    </w:p>
    <w:p>
      <w:r>
        <w:t>El Dockerfile y el Compose permiten preparar una instancia. Para multiples servidores, SQLite debe sustituirse por PostgreSQL o equivalente y las tareas deben pasar a una cola compartida. Tambien faltan balanceo, observabilidad, copias y pruebas de restauracion.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4"/>
        <w:gridCol w:w="4680"/>
        <w:gridCol w:w="1512"/>
      </w:tblGrid>
      <w:tr>
        <w:trPr>
          <w:tblHeader/>
          <w:cantSplit/>
        </w:trPr>
        <w:tc>
          <w:tcPr>
            <w:tcW w:type="dxa" w:w="3384"/>
            <w:vAlign w:val="center"/>
            <w:tcMar>
              <w:top w:w="120" w:type="dxa"/>
              <w:start w:w="140" w:type="dxa"/>
              <w:bottom w:w="120" w:type="dxa"/>
              <w:end w:w="140" w:type="dxa"/>
            </w:tcMar>
            <w:shd w:fill="17324D"/>
          </w:tcPr>
          <w:p>
            <w:pPr>
              <w:spacing w:after="0"/>
            </w:pPr>
            <w:r>
              <w:rPr>
                <w:rFonts w:ascii="Arial" w:hAnsi="Arial"/>
                <w:b/>
                <w:color w:val="FFFFFF"/>
                <w:sz w:val="18"/>
              </w:rPr>
              <w:t>Paso siguiente</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Motivo</w:t>
            </w:r>
          </w:p>
        </w:tc>
        <w:tc>
          <w:tcPr>
            <w:tcW w:type="dxa" w:w="1512"/>
            <w:vAlign w:val="center"/>
            <w:tcMar>
              <w:top w:w="120" w:type="dxa"/>
              <w:start w:w="140" w:type="dxa"/>
              <w:bottom w:w="120" w:type="dxa"/>
              <w:end w:w="140" w:type="dxa"/>
            </w:tcMar>
            <w:shd w:fill="17324D"/>
          </w:tcPr>
          <w:p>
            <w:pPr>
              <w:spacing w:after="0"/>
            </w:pPr>
            <w:r>
              <w:rPr>
                <w:rFonts w:ascii="Arial" w:hAnsi="Arial"/>
                <w:b/>
                <w:color w:val="FFFFFF"/>
                <w:sz w:val="18"/>
              </w:rPr>
              <w:t>Prioridad</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Elegir proveedor productivo</w:t>
            </w:r>
          </w:p>
        </w:tc>
        <w:tc>
          <w:tcPr>
            <w:tcW w:type="dxa" w:w="4680"/>
            <w:vAlign w:val="center"/>
            <w:tcMar>
              <w:top w:w="120" w:type="dxa"/>
              <w:start w:w="140" w:type="dxa"/>
              <w:bottom w:w="120" w:type="dxa"/>
              <w:end w:w="140" w:type="dxa"/>
            </w:tcMar>
            <w:shd w:fill="FFFFFF"/>
          </w:tcPr>
          <w:p>
            <w:pPr>
              <w:spacing w:after="0"/>
            </w:pPr>
            <w:r>
              <w:rPr>
                <w:rFonts w:ascii="Arial" w:hAnsi="Arial"/>
                <w:sz w:val="18"/>
              </w:rPr>
              <w:t>Define dominio, red, base, correo y secretos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Migrar a PostgreSQL</w:t>
            </w:r>
          </w:p>
        </w:tc>
        <w:tc>
          <w:tcPr>
            <w:tcW w:type="dxa" w:w="4680"/>
            <w:vAlign w:val="center"/>
            <w:tcMar>
              <w:top w:w="120" w:type="dxa"/>
              <w:start w:w="140" w:type="dxa"/>
              <w:bottom w:w="120" w:type="dxa"/>
              <w:end w:w="140" w:type="dxa"/>
            </w:tcMar>
            <w:shd w:fill="EEF3F8"/>
          </w:tcPr>
          <w:p>
            <w:pPr>
              <w:spacing w:after="0"/>
            </w:pPr>
            <w:r>
              <w:rPr>
                <w:rFonts w:ascii="Arial" w:hAnsi="Arial"/>
                <w:sz w:val="18"/>
              </w:rPr>
              <w:t>Permite persistencia compartida y replicas</w:t>
            </w:r>
          </w:p>
        </w:tc>
        <w:tc>
          <w:tcPr>
            <w:tcW w:type="dxa" w:w="1512"/>
            <w:vAlign w:val="center"/>
            <w:tcMar>
              <w:top w:w="120" w:type="dxa"/>
              <w:start w:w="140" w:type="dxa"/>
              <w:bottom w:w="120" w:type="dxa"/>
              <w:end w:w="140" w:type="dxa"/>
            </w:tcMar>
            <w:shd w:fill="EEF3F8"/>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Validar un conector adicional</w:t>
            </w:r>
          </w:p>
        </w:tc>
        <w:tc>
          <w:tcPr>
            <w:tcW w:type="dxa" w:w="4680"/>
            <w:vAlign w:val="center"/>
            <w:tcMar>
              <w:top w:w="120" w:type="dxa"/>
              <w:start w:w="140" w:type="dxa"/>
              <w:bottom w:w="120" w:type="dxa"/>
              <w:end w:w="140" w:type="dxa"/>
            </w:tcMar>
            <w:shd w:fill="FFFFFF"/>
          </w:tcPr>
          <w:p>
            <w:pPr>
              <w:spacing w:after="0"/>
            </w:pPr>
            <w:r>
              <w:rPr>
                <w:rFonts w:ascii="Arial" w:hAnsi="Arial"/>
                <w:sz w:val="18"/>
              </w:rPr>
              <w:t>Reduce riesgo antes de activar las cinco redes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Incorporar cola y observabilidad</w:t>
            </w:r>
          </w:p>
        </w:tc>
        <w:tc>
          <w:tcPr>
            <w:tcW w:type="dxa" w:w="4680"/>
            <w:vAlign w:val="center"/>
            <w:tcMar>
              <w:top w:w="120" w:type="dxa"/>
              <w:start w:w="140" w:type="dxa"/>
              <w:bottom w:w="120" w:type="dxa"/>
              <w:end w:w="140" w:type="dxa"/>
            </w:tcMar>
            <w:shd w:fill="EEF3F8"/>
          </w:tcPr>
          <w:p>
            <w:pPr>
              <w:spacing w:after="0"/>
            </w:pPr>
            <w:r>
              <w:rPr>
                <w:rFonts w:ascii="Arial" w:hAnsi="Arial"/>
                <w:sz w:val="18"/>
              </w:rPr>
              <w:t>Controla trabajos, reintentos y fallos</w:t>
            </w:r>
          </w:p>
        </w:tc>
        <w:tc>
          <w:tcPr>
            <w:tcW w:type="dxa" w:w="1512"/>
            <w:vAlign w:val="center"/>
            <w:tcMar>
              <w:top w:w="120" w:type="dxa"/>
              <w:start w:w="140" w:type="dxa"/>
              <w:bottom w:w="120" w:type="dxa"/>
              <w:end w:w="140" w:type="dxa"/>
            </w:tcMar>
            <w:shd w:fill="EEF3F8"/>
          </w:tcPr>
          <w:p>
            <w:pPr>
              <w:spacing w:after="0"/>
            </w:pPr>
            <w:r>
              <w:rPr>
                <w:rFonts w:ascii="Arial" w:hAnsi="Arial"/>
                <w:sz w:val="18"/>
              </w:rPr>
              <w:t>Media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Pruebas de carga y seguridad</w:t>
            </w:r>
          </w:p>
        </w:tc>
        <w:tc>
          <w:tcPr>
            <w:tcW w:type="dxa" w:w="4680"/>
            <w:vAlign w:val="center"/>
            <w:tcMar>
              <w:top w:w="120" w:type="dxa"/>
              <w:start w:w="140" w:type="dxa"/>
              <w:bottom w:w="120" w:type="dxa"/>
              <w:end w:w="140" w:type="dxa"/>
            </w:tcMar>
            <w:shd w:fill="FFFFFF"/>
          </w:tcPr>
          <w:p>
            <w:pPr>
              <w:spacing w:after="0"/>
            </w:pPr>
            <w:r>
              <w:rPr>
                <w:rFonts w:ascii="Arial" w:hAnsi="Arial"/>
                <w:sz w:val="18"/>
              </w:rPr>
              <w:t>Confirma capacidad y controles antes de clientes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bl>
    <w:p>
      <w:pPr>
        <w:pStyle w:val="Heading2"/>
      </w:pPr>
      <w:r>
        <w:t>Fuentes de comprobacion</w:t>
      </w:r>
    </w:p>
    <w:p>
      <w:pPr>
        <w:pStyle w:val="ListBullet"/>
        <w:spacing w:after="80"/>
      </w:pPr>
      <w:r>
        <w:t>Migraciones 003 a 006.</w:t>
      </w:r>
    </w:p>
    <w:p>
      <w:pPr>
        <w:pStyle w:val="ListBullet"/>
        <w:spacing w:after="80"/>
      </w:pPr>
      <w:r>
        <w:t>Rutas de organizaciones, autenticacion e integraciones.</w:t>
      </w:r>
    </w:p>
    <w:p>
      <w:pPr>
        <w:pStyle w:val="ListBullet"/>
        <w:spacing w:after="80"/>
      </w:pPr>
      <w:r>
        <w:t>Adaptadores de proveedores y trabajador de sincronizacion.</w:t>
      </w:r>
    </w:p>
    <w:p>
      <w:pPr>
        <w:pStyle w:val="ListBullet"/>
        <w:spacing w:after="80"/>
      </w:pPr>
      <w:r>
        <w:t>Pruebas de API, cuenta, proveedores y trabajador.</w:t>
      </w:r>
    </w:p>
    <w:p>
      <w:pPr>
        <w:pStyle w:val="ListBullet"/>
        <w:spacing w:after="80"/>
      </w:pPr>
      <w:r>
        <w:t>README, CHANGELOG y documentos 25 a 28.</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cliente-desktop.png"/>
                    <pic:cNvPicPr/>
                  </pic:nvPicPr>
                  <pic:blipFill>
                    <a:blip r:embed="rId12"/>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4" name="Picture 4"/>
            <wp:cNvGraphicFramePr>
              <a:graphicFrameLocks noChangeAspect="1"/>
            </wp:cNvGraphicFramePr>
            <a:graphic>
              <a:graphicData uri="http://schemas.openxmlformats.org/drawingml/2006/picture">
                <pic:pic>
                  <pic:nvPicPr>
                    <pic:cNvPr id="0" name="x-bloqueado-desktop.png"/>
                    <pic:cNvPicPr/>
                  </pic:nvPicPr>
                  <pic:blipFill>
                    <a:blip r:embed="rId13"/>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p>
      <w:r>
        <w:br w:type="page"/>
      </w:r>
    </w:p>
    <w:p>
      <w:pPr>
        <w:pStyle w:val="Heading1"/>
      </w:pPr>
      <w:r>
        <w:t>Preparacion del traslado a PostgreSQL</w:t>
      </w:r>
    </w:p>
    <w:p>
      <w:r>
        <w:t>Avance 017 del 26 de septiembre de 2026. Se agrego una herramienta para trasladar datos de SQLite a una base PostgreSQL nueva. El traslado se verifica antes de confirmarse. La aplicacion local sigue usando SQLite: todavia no se ha adaptado el backend completo ni se ha desplegado en internet.</w:t>
      </w:r>
    </w:p>
    <w:p>
      <w:pPr>
        <w:pStyle w:val="Heading2"/>
      </w:pPr>
      <w:r>
        <w:t>Que conserva y que comprueba</w:t>
      </w:r>
    </w:p>
    <w:p>
      <w:r>
        <w:t>Conserva empresas, usuarios, permisos, cuentas, publicaciones, metricas, reportes y secretos cifrados. Comprueba referencias y contenido, rechaza destinos ocupados y cancela la transaccion si falla una comprobacion. Trabaja sobre una instantanea en memoria, sin modificar la base original. Las claves de cifrado deben custodiarse aparte.</w:t>
      </w:r>
    </w:p>
    <w:p>
      <w:pPr>
        <w:pStyle w:val="Heading2"/>
      </w:pPr>
      <w:r>
        <w:t>Medidas antes de abrir el nuevo entorno</w:t>
      </w:r>
    </w:p>
    <w:p>
      <w:r>
        <w:t>En el destino se invalidan sesiones y enlaces temporales, se pausan sincronizaciones y correos pendientes, y se reinician los codigos de recuperacion MFA. El segundo factor ya habilitado se conserva. El administrador debera verificar acceso, renovar codigos y revisar tareas antes de habilitar usuarios. No se activa ninguna API de pago.</w:t>
      </w:r>
    </w:p>
    <w:p>
      <w:pPr>
        <w:pStyle w:val="Heading2"/>
      </w:pPr>
      <w:r>
        <w:t>Evidencia y pendientes</w:t>
      </w:r>
    </w:p>
    <w:p>
      <w:r>
        <w:t>Pasaron 84 pruebas automatizadas, incluidas ocho nuevas con PostgreSQL embebido, SQLite y la herramienta de consola. La construccion publica paso y la carga local de 200 solicitudes no tuvo errores. El workflow incorpora una prueba adicional contra PostgreSQL 16 servidor con datos desechables y dos conexiones.</w:t>
      </w:r>
    </w:p>
    <w:p>
      <w:r>
        <w:t>Falta adaptar las consultas y transacciones del backend a PostgreSQL, desplegarlo y activar correo y redes con autorizaciones reales. No se contrataron servicios ni se trasladaron datos reales. La pagina publica sigue siendo una demo. Guia operativa: docs/34-traslado-postgresql.md.</w:t>
      </w:r>
    </w:p>
    <w:p>
      <w:r>
        <w:br w:type="page"/>
      </w:r>
    </w:p>
    <w:p>
      <w:pPr>
        <w:pStyle w:val="Heading1"/>
      </w:pPr>
      <w:r>
        <w:t>Primeras operaciones del backend en PostgreSQL</w:t>
      </w:r>
    </w:p>
    <w:p>
      <w:r>
        <w:t>Avance 018 del 26 de septiembre de 2026. Se adapto la lectura de sesiones y el limite de intentos de acceso para trabajar con SQLite o PostgreSQL. El sistema completo todavia inicia con SQLite. Las pruebas PostgreSQL usan sesiones preparadas para validacion, no un registro o inicio de sesion completo del producto.</w:t>
      </w:r>
    </w:p>
    <w:p>
      <w:pPr>
        <w:pStyle w:val="Heading2"/>
      </w:pPr>
      <w:r>
        <w:t>Que mejora</w:t>
      </w:r>
    </w:p>
    <w:p>
      <w:r>
        <w:t>El servidor sigue comprobando usuario, rol y empresa antes de aceptar la sesion. Ahora interpreta las fechas de vencimiento correctamente aunque tengan formato ISO o un desplazamiento horario. Conserva permisos y proteccion CSRF. Un fallo de base no concede acceso ni permite continuar al controlador protegido.</w:t>
      </w:r>
    </w:p>
    <w:p>
      <w:r>
        <w:t>El limite agrupa conteo e insercion de intentos para evitar que solicitudes simultaneas superen el maximo. PostgreSQL utiliza un bloqueo compartido por clave. Tambien se preparo un grupo acotado de conexiones, con TLS validado, UTC, tiempos maximos y transacciones que liberan o descartan la conexion segun el resultado.</w:t>
      </w:r>
    </w:p>
    <w:p>
      <w:pPr>
        <w:pStyle w:val="Heading2"/>
      </w:pPr>
      <w:r>
        <w:t>Pruebas y continuidad</w:t>
      </w:r>
    </w:p>
    <w:p>
      <w:r>
        <w:t>Pasaron 96 pruebas automatizadas y la construccion publica. La carga local ejecuto 200 solicitudes sin errores. La prueba del servidor PostgreSQL en GitHub usa dos grupos de conexiones y 30 intentos concurrentes para comprobar el limite. La version local conserva sus funciones y la publica sigue siendo una demo.</w:t>
      </w:r>
    </w:p>
    <w:p>
      <w:pPr>
        <w:pStyle w:val="Heading2"/>
      </w:pPr>
      <w:r>
        <w:t>Trabajo que sigue pendiente</w:t>
      </w:r>
    </w:p>
    <w:p>
      <w:r>
        <w:t>Falta adaptar a PostgreSQL las demas operaciones de autenticacion, organizaciones, analitica, reportes e integraciones y los trabajadores. Esas funciones siguen disponibles con SQLite. Despues se podra seleccionar el motor y desplegar el piloto. No se trasladaron datos reales ni se contrataron servicios. Correo y redes oficiales siguen pendientes de autorizaciones. Guia: docs/35-acceso-asincrono-postgresql.md.</w:t>
      </w:r>
    </w:p>
    <w:p>
      <w:r>
        <w:br w:type="page"/>
      </w:r>
    </w:p>
    <w:p>
      <w:pPr>
        <w:pStyle w:val="Heading1"/>
      </w:pPr>
      <w:r>
        <w:t>Recuperacion de cuenta preparada para PostgreSQL</w:t>
      </w:r>
    </w:p>
    <w:p>
      <w:r>
        <w:t>Avance 019 del 26 de septiembre de 2026. La recuperacion de contrasena y la verificacion de correo ya se prueban con los mismos endpoints en SQLite y PostgreSQL. El servidor local completo sigue usando SQLite; no se ha desplegado un backend nuevo ni se ha activado el correo empresarial.</w:t>
      </w:r>
    </w:p>
    <w:p>
      <w:pPr>
        <w:pStyle w:val="Heading2"/>
      </w:pPr>
      <w:r>
        <w:t>Que cambia para la seguridad</w:t>
      </w:r>
    </w:p>
    <w:p>
      <w:r>
        <w:t>Cada nuevo enlace sustituye al anterior de su mismo tipo. Solo se puede completar una vez, incluso con solicitudes simultaneas. El sistema rechaza enlaces vencidos y cuentas desactivadas. Al restablecer la contrasena se cierran las sesiones y se invalidan los desafios de acceso pendientes, dentro de una sola transaccion.</w:t>
      </w:r>
    </w:p>
    <w:p>
      <w:r>
        <w:t>El segundo factor ya activo se conserva; una configuracion de 2FA que todavia no se habia confirmado se elimina. El registro de correos conserva destinatario, asunto y estado, sin guardar el cuerpo ni enlaces secretos. Si falla la base despues de que el proveedor acepte un correo, no se reenvia automaticamente ni se atribuye el fallo al proveedor. La aceptacion tampoco garantiza llegada al buzon.</w:t>
      </w:r>
    </w:p>
    <w:p>
      <w:pPr>
        <w:pStyle w:val="Heading2"/>
      </w:pPr>
      <w:r>
        <w:t>Pruebas realizadas</w:t>
      </w:r>
    </w:p>
    <w:p>
      <w:r>
        <w:t>Pasaron 105 pruebas automatizadas, la construccion publica y 200 solicitudes de carga local sin errores. Los contratos comprueban recuperacion, verificacion, caducidad, aislamiento, rollback y privacidad. La prueba PostgreSQL del workflow incluye solicitudes concurrentes desde dos grupos de conexiones. Todos los correos de prueba son capturados o simulados; no se envio correo real.</w:t>
      </w:r>
    </w:p>
    <w:p>
      <w:pPr>
        <w:pStyle w:val="Heading2"/>
      </w:pPr>
      <w:r>
        <w:t>Lo que queda pendiente</w:t>
      </w:r>
    </w:p>
    <w:p>
      <w:r>
        <w:t>Faltan registro, login y gestion 2FA completos sobre PostgreSQL, ademas de los modulos de datos y trabajadores. Esas funciones siguen disponibles localmente con SQLite. La publica permanece como demo estatica. Siguen pendientes autorizaciones sociales, Microsoft 365, alojamiento y pruebas reales. No se contrataron servicios. Detalle tecnico: docs/36-recuperacion-postgresql.md.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semanal Social Audit Pro 21 al 27 de septiembre de 2026</dc:title>
  <dc:subject>Estado verificable del desarrollo y pendientes</dc:subject>
  <dc:creator>Social Audit Pro Team</dc:creator>
  <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