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E18D8">
      <w:pPr>
        <w:jc w:val="center"/>
      </w:pPr>
      <w:r>
        <w:rPr>
          <w:rFonts w:ascii="Calibri" w:hAnsi="Calibri" w:eastAsia="Calibri"/>
          <w:b/>
          <w:color w:val="0B2545"/>
          <w:sz w:val="36"/>
        </w:rPr>
        <w:t>BÁO CÁO TÓM TẮT BÀI TẬP LỚN</w:t>
      </w:r>
      <w:r>
        <w:rPr>
          <w:rFonts w:ascii="Calibri" w:hAnsi="Calibri" w:eastAsia="Calibri"/>
          <w:b/>
          <w:color w:val="0B2545"/>
          <w:sz w:val="36"/>
        </w:rPr>
        <w:br w:type="textWrapping"/>
      </w:r>
      <w:r>
        <w:rPr>
          <w:rFonts w:ascii="Calibri" w:hAnsi="Calibri" w:eastAsia="Calibri"/>
          <w:b/>
          <w:color w:val="0B2545"/>
          <w:sz w:val="36"/>
        </w:rPr>
        <w:t>HỆ THỐNG ĐẤU GIÁ TRỰC TUYẾN</w:t>
      </w:r>
    </w:p>
    <w:p w14:paraId="3E589360">
      <w:pPr>
        <w:jc w:val="center"/>
      </w:pPr>
      <w:r>
        <w:rPr>
          <w:rFonts w:ascii="Calibri" w:hAnsi="Calibri" w:eastAsia="Calibri"/>
          <w:b w:val="0"/>
          <w:color w:val="555555"/>
          <w:sz w:val="20"/>
        </w:rPr>
        <w:t>Project: Auction-System-Pro-Deluxe-5000 | Công nghệ: JavaFX 21, TCP Socket, SQLite, Maven</w:t>
      </w:r>
    </w:p>
    <w:p w14:paraId="6A71BFA2">
      <w:pPr>
        <w:pStyle w:val="2"/>
      </w:pPr>
      <w:r>
        <w:t>1. Mục tiêu và phạm vi thực hiện</w:t>
      </w:r>
    </w:p>
    <w:p w14:paraId="019A280B">
      <w:r>
        <w:rPr>
          <w:rFonts w:ascii="Calibri" w:hAnsi="Calibri" w:eastAsia="Calibri"/>
          <w:b w:val="0"/>
          <w:sz w:val="21"/>
        </w:rPr>
        <w:t>Mục tiêu của project là xây dựng một hệ thống đấu giá trực tuyến dạng desktop client-server, cho phép nhiều người dùng tham gia phiên đấu giá theo thời gian thực, đồng thời thể hiện đầy đủ thiết kế hướng đối tượng, xử lý đồng thời và kiến trúc phân tầng theo yêu cầu đề bài.</w:t>
      </w:r>
    </w:p>
    <w:p w14:paraId="44558307">
      <w:r>
        <w:rPr>
          <w:rFonts w:ascii="Calibri" w:hAnsi="Calibri" w:eastAsia="Calibri"/>
          <w:b w:val="0"/>
          <w:sz w:val="21"/>
        </w:rPr>
        <w:t>Phạm vi đã thực hiện gồm: quản lý tài khoản theo vai trò Bidder/Seller/Admin; quản lý sản phẩm và phiên đấu giá; đặt giá, auto-bidding, kết thúc phiên tự động; cập nhật realtime qua socket; giao diện JavaFX/FXML; lưu trữ SQLite; kiểm thử JUnit và CI GitHub Actions.</w:t>
      </w:r>
    </w:p>
    <w:p w14:paraId="72EFC569">
      <w:pPr>
        <w:pStyle w:val="2"/>
      </w:pPr>
      <w:r>
        <w:t>2. Kiến trúc tổng thể</w:t>
      </w:r>
    </w:p>
    <w:p w14:paraId="0FA7F3EB">
      <w:pPr>
        <w:jc w:val="center"/>
      </w:pPr>
      <w:r>
        <w:drawing>
          <wp:inline distT="0" distB="0" distL="114300" distR="114300">
            <wp:extent cx="6126480" cy="36753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6480" cy="3675888"/>
                    </a:xfrm>
                    <a:prstGeom prst="rect">
                      <a:avLst/>
                    </a:prstGeom>
                  </pic:spPr>
                </pic:pic>
              </a:graphicData>
            </a:graphic>
          </wp:inline>
        </w:drawing>
      </w:r>
    </w:p>
    <w:p w14:paraId="633AEB0D">
      <w:pPr>
        <w:jc w:val="center"/>
      </w:pPr>
      <w:r>
        <w:rPr>
          <w:rFonts w:ascii="Calibri" w:hAnsi="Calibri" w:eastAsia="Calibri"/>
          <w:b w:val="0"/>
          <w:color w:val="555555"/>
          <w:sz w:val="18"/>
        </w:rPr>
        <w:t>Hình 1. Kiến trúc client-server, giao tiếp socket JSON và phân tầng xử lý trên server.</w:t>
      </w:r>
    </w:p>
    <w:p w14:paraId="1344FA8E">
      <w:r>
        <w:rPr>
          <w:rFonts w:ascii="Calibri" w:hAnsi="Calibri" w:eastAsia="Calibri"/>
          <w:b w:val="0"/>
          <w:sz w:val="21"/>
        </w:rPr>
        <w:t>Hệ thống chia thành ba module Maven. auction-client chứa giao diện JavaFX theo MVC: FXML định nghĩa view, controller xử lý thao tác người dùng, ServerConnection gửi request và nhận broadcast bất đồng bộ. auction-common định nghĩa hợp đồng dùng chung gồm Message, MessageType, DTO và payload request/response để hai phía serialize JSON thống nhất. auction-server nhận kết nối TCP, mỗi ClientHandler dispatch request sang service tương ứng, service thực thi nghiệp vụ và gọi DAO để thao tác SQLite.</w:t>
      </w:r>
    </w:p>
    <w:p w14:paraId="15F9691D">
      <w:r>
        <w:rPr>
          <w:rFonts w:ascii="Calibri" w:hAnsi="Calibri" w:eastAsia="Calibri"/>
          <w:b w:val="0"/>
          <w:sz w:val="21"/>
        </w:rPr>
        <w:t>Chỉ server truy cập database. Điều này giữ dữ liệu nhất quán và cho phép kiểm soát đồng thời tập trung. Với realtime, client gửi WATCH_AUCTION khi mở màn hình chi tiết; ClientHandler đăng ký vào AuctionEventBus. Khi có bid, gia hạn hoặc kết thúc phiên, server push broadcast đến các client đang theo dõi mà không cần polling.</w:t>
      </w:r>
    </w:p>
    <w:p w14:paraId="12B7F38B">
      <w:pPr>
        <w:pStyle w:val="2"/>
      </w:pPr>
      <w:r>
        <w:t>3. Chức năng đạt được theo barem</w:t>
      </w:r>
    </w:p>
    <w:tbl>
      <w:tblPr>
        <w:tblStyle w:val="12"/>
        <w:tblW w:w="0" w:type="auto"/>
        <w:tblInd w:w="0" w:type="dxa"/>
        <w:tblLayout w:type="fixed"/>
        <w:tblCellMar>
          <w:top w:w="0" w:type="dxa"/>
          <w:left w:w="108" w:type="dxa"/>
          <w:bottom w:w="0" w:type="dxa"/>
          <w:right w:w="108" w:type="dxa"/>
        </w:tblCellMar>
      </w:tblPr>
      <w:tblGrid>
        <w:gridCol w:w="2520"/>
        <w:gridCol w:w="2520"/>
        <w:gridCol w:w="2520"/>
        <w:gridCol w:w="2520"/>
      </w:tblGrid>
      <w:tr w14:paraId="61C61182">
        <w:tblPrEx>
          <w:tblCellMar>
            <w:top w:w="0" w:type="dxa"/>
            <w:left w:w="108" w:type="dxa"/>
            <w:bottom w:w="0" w:type="dxa"/>
            <w:right w:w="108" w:type="dxa"/>
          </w:tblCellMar>
        </w:tblPrEx>
        <w:tc>
          <w:tcPr>
            <w:tcW w:w="1655" w:type="dxa"/>
            <w:tcBorders>
              <w:top w:val="single" w:color="D9E2EC" w:sz="4" w:space="0"/>
              <w:left w:val="single" w:color="D9E2EC" w:sz="4" w:space="0"/>
              <w:bottom w:val="single" w:color="D9E2EC" w:sz="4" w:space="0"/>
              <w:right w:val="single" w:color="D9E2EC" w:sz="4" w:space="0"/>
            </w:tcBorders>
            <w:shd w:val="clear" w:color="auto" w:fill="E8EEF5"/>
            <w:vAlign w:val="center"/>
          </w:tcPr>
          <w:p w14:paraId="36A2479B">
            <w:pPr>
              <w:spacing w:after="0"/>
            </w:pPr>
            <w:r>
              <w:rPr>
                <w:rFonts w:ascii="Calibri" w:hAnsi="Calibri" w:eastAsia="Calibri"/>
                <w:b/>
                <w:color w:val="0B2545"/>
                <w:sz w:val="17"/>
              </w:rPr>
              <w:t>Barem</w:t>
            </w:r>
          </w:p>
        </w:tc>
        <w:tc>
          <w:tcPr>
            <w:tcW w:w="3528" w:type="dxa"/>
            <w:tcBorders>
              <w:top w:val="single" w:color="D9E2EC" w:sz="4" w:space="0"/>
              <w:left w:val="single" w:color="D9E2EC" w:sz="4" w:space="0"/>
              <w:bottom w:val="single" w:color="D9E2EC" w:sz="4" w:space="0"/>
              <w:right w:val="single" w:color="D9E2EC" w:sz="4" w:space="0"/>
            </w:tcBorders>
            <w:shd w:val="clear" w:color="auto" w:fill="E8EEF5"/>
            <w:vAlign w:val="center"/>
          </w:tcPr>
          <w:p w14:paraId="7DDB0352">
            <w:pPr>
              <w:spacing w:after="0"/>
            </w:pPr>
            <w:r>
              <w:rPr>
                <w:rFonts w:ascii="Calibri" w:hAnsi="Calibri" w:eastAsia="Calibri"/>
                <w:b/>
                <w:color w:val="0B2545"/>
                <w:sz w:val="17"/>
              </w:rPr>
              <w:t>Chức năng đạt được</w:t>
            </w:r>
          </w:p>
        </w:tc>
        <w:tc>
          <w:tcPr>
            <w:tcW w:w="3096" w:type="dxa"/>
            <w:tcBorders>
              <w:top w:val="single" w:color="D9E2EC" w:sz="4" w:space="0"/>
              <w:left w:val="single" w:color="D9E2EC" w:sz="4" w:space="0"/>
              <w:bottom w:val="single" w:color="D9E2EC" w:sz="4" w:space="0"/>
              <w:right w:val="single" w:color="D9E2EC" w:sz="4" w:space="0"/>
            </w:tcBorders>
            <w:shd w:val="clear" w:color="auto" w:fill="E8EEF5"/>
            <w:vAlign w:val="center"/>
          </w:tcPr>
          <w:p w14:paraId="61A44283">
            <w:pPr>
              <w:spacing w:after="0"/>
            </w:pPr>
            <w:r>
              <w:rPr>
                <w:rFonts w:ascii="Calibri" w:hAnsi="Calibri" w:eastAsia="Calibri"/>
                <w:b/>
                <w:color w:val="0B2545"/>
                <w:sz w:val="17"/>
              </w:rPr>
              <w:t>Hướng giải quyết / lý do</w:t>
            </w:r>
          </w:p>
        </w:tc>
        <w:tc>
          <w:tcPr>
            <w:tcW w:w="792" w:type="dxa"/>
            <w:tcBorders>
              <w:top w:val="single" w:color="D9E2EC" w:sz="4" w:space="0"/>
              <w:left w:val="single" w:color="D9E2EC" w:sz="4" w:space="0"/>
              <w:bottom w:val="single" w:color="D9E2EC" w:sz="4" w:space="0"/>
              <w:right w:val="single" w:color="D9E2EC" w:sz="4" w:space="0"/>
            </w:tcBorders>
            <w:shd w:val="clear" w:color="auto" w:fill="E8EEF5"/>
            <w:vAlign w:val="center"/>
          </w:tcPr>
          <w:p w14:paraId="092F9923">
            <w:pPr>
              <w:spacing w:after="0"/>
            </w:pPr>
            <w:r>
              <w:rPr>
                <w:rFonts w:ascii="Calibri" w:hAnsi="Calibri" w:eastAsia="Calibri"/>
                <w:b/>
                <w:color w:val="0B2545"/>
                <w:sz w:val="17"/>
              </w:rPr>
              <w:t>Điểm</w:t>
            </w:r>
          </w:p>
        </w:tc>
      </w:tr>
      <w:tr w14:paraId="3579FDE4">
        <w:tblPrEx>
          <w:tblCellMar>
            <w:top w:w="0" w:type="dxa"/>
            <w:left w:w="108" w:type="dxa"/>
            <w:bottom w:w="0" w:type="dxa"/>
            <w:right w:w="108" w:type="dxa"/>
          </w:tblCellMar>
        </w:tblPrEx>
        <w:tc>
          <w:tcPr>
            <w:tcW w:w="1655" w:type="dxa"/>
            <w:tcBorders>
              <w:top w:val="single" w:color="D9E2EC" w:sz="4" w:space="0"/>
              <w:left w:val="single" w:color="D9E2EC" w:sz="4" w:space="0"/>
              <w:bottom w:val="single" w:color="D9E2EC" w:sz="4" w:space="0"/>
              <w:right w:val="single" w:color="D9E2EC" w:sz="4" w:space="0"/>
            </w:tcBorders>
            <w:vAlign w:val="center"/>
          </w:tcPr>
          <w:p w14:paraId="3D435810">
            <w:pPr>
              <w:spacing w:after="0"/>
            </w:pPr>
            <w:r>
              <w:rPr>
                <w:rFonts w:ascii="Calibri" w:hAnsi="Calibri" w:eastAsia="Calibri"/>
                <w:b/>
                <w:sz w:val="16"/>
              </w:rPr>
              <w:t>Thiết kế lớp và OOP</w:t>
            </w:r>
          </w:p>
        </w:tc>
        <w:tc>
          <w:tcPr>
            <w:tcW w:w="3528" w:type="dxa"/>
            <w:tcBorders>
              <w:top w:val="single" w:color="D9E2EC" w:sz="4" w:space="0"/>
              <w:left w:val="single" w:color="D9E2EC" w:sz="4" w:space="0"/>
              <w:bottom w:val="single" w:color="D9E2EC" w:sz="4" w:space="0"/>
              <w:right w:val="single" w:color="D9E2EC" w:sz="4" w:space="0"/>
            </w:tcBorders>
            <w:vAlign w:val="center"/>
          </w:tcPr>
          <w:p w14:paraId="1F6C3660">
            <w:pPr>
              <w:spacing w:after="0"/>
            </w:pPr>
            <w:r>
              <w:rPr>
                <w:rFonts w:ascii="Calibri" w:hAnsi="Calibri" w:eastAsia="Calibri"/>
                <w:b w:val="0"/>
                <w:sz w:val="16"/>
              </w:rPr>
              <w:t>Có Entity, User/Bidder/Seller/Admin, Item/Electronics/Art/Vehicle, Auction, BidTransaction; dùng encapsulation, inheritance, polymorphism, abstraction.</w:t>
            </w:r>
          </w:p>
        </w:tc>
        <w:tc>
          <w:tcPr>
            <w:tcW w:w="3096" w:type="dxa"/>
            <w:tcBorders>
              <w:top w:val="single" w:color="D9E2EC" w:sz="4" w:space="0"/>
              <w:left w:val="single" w:color="D9E2EC" w:sz="4" w:space="0"/>
              <w:bottom w:val="single" w:color="D9E2EC" w:sz="4" w:space="0"/>
              <w:right w:val="single" w:color="D9E2EC" w:sz="4" w:space="0"/>
            </w:tcBorders>
            <w:vAlign w:val="center"/>
          </w:tcPr>
          <w:p w14:paraId="099061DD">
            <w:pPr>
              <w:spacing w:after="0"/>
            </w:pPr>
            <w:r>
              <w:rPr>
                <w:rFonts w:ascii="Calibri" w:hAnsi="Calibri" w:eastAsia="Calibri"/>
                <w:b w:val="0"/>
                <w:sz w:val="16"/>
              </w:rPr>
              <w:t>Mô hình domain tách khỏi SQL/network; factory tạo đúng subclass.</w:t>
            </w:r>
          </w:p>
        </w:tc>
        <w:tc>
          <w:tcPr>
            <w:tcW w:w="792" w:type="dxa"/>
            <w:tcBorders>
              <w:top w:val="single" w:color="D9E2EC" w:sz="4" w:space="0"/>
              <w:left w:val="single" w:color="D9E2EC" w:sz="4" w:space="0"/>
              <w:bottom w:val="single" w:color="D9E2EC" w:sz="4" w:space="0"/>
              <w:right w:val="single" w:color="D9E2EC" w:sz="4" w:space="0"/>
            </w:tcBorders>
            <w:vAlign w:val="center"/>
          </w:tcPr>
          <w:p w14:paraId="62360B3B">
            <w:pPr>
              <w:spacing w:after="0"/>
              <w:jc w:val="center"/>
            </w:pPr>
            <w:r>
              <w:rPr>
                <w:rFonts w:ascii="Calibri" w:hAnsi="Calibri" w:eastAsia="Calibri"/>
                <w:b w:val="0"/>
                <w:sz w:val="16"/>
              </w:rPr>
              <w:t>2.5</w:t>
            </w:r>
          </w:p>
        </w:tc>
      </w:tr>
      <w:tr w14:paraId="4AB4988B">
        <w:tblPrEx>
          <w:tblCellMar>
            <w:top w:w="0" w:type="dxa"/>
            <w:left w:w="108" w:type="dxa"/>
            <w:bottom w:w="0" w:type="dxa"/>
            <w:right w:w="108" w:type="dxa"/>
          </w:tblCellMar>
        </w:tblPrEx>
        <w:tc>
          <w:tcPr>
            <w:tcW w:w="1655" w:type="dxa"/>
            <w:tcBorders>
              <w:top w:val="single" w:color="D9E2EC" w:sz="4" w:space="0"/>
              <w:left w:val="single" w:color="D9E2EC" w:sz="4" w:space="0"/>
              <w:bottom w:val="single" w:color="D9E2EC" w:sz="4" w:space="0"/>
              <w:right w:val="single" w:color="D9E2EC" w:sz="4" w:space="0"/>
            </w:tcBorders>
            <w:vAlign w:val="center"/>
          </w:tcPr>
          <w:p w14:paraId="5C777422">
            <w:pPr>
              <w:spacing w:after="0"/>
            </w:pPr>
            <w:r>
              <w:rPr>
                <w:rFonts w:ascii="Calibri" w:hAnsi="Calibri" w:eastAsia="Calibri"/>
                <w:b/>
                <w:sz w:val="16"/>
              </w:rPr>
              <w:t>Design pattern</w:t>
            </w:r>
          </w:p>
        </w:tc>
        <w:tc>
          <w:tcPr>
            <w:tcW w:w="3528" w:type="dxa"/>
            <w:tcBorders>
              <w:top w:val="single" w:color="D9E2EC" w:sz="4" w:space="0"/>
              <w:left w:val="single" w:color="D9E2EC" w:sz="4" w:space="0"/>
              <w:bottom w:val="single" w:color="D9E2EC" w:sz="4" w:space="0"/>
              <w:right w:val="single" w:color="D9E2EC" w:sz="4" w:space="0"/>
            </w:tcBorders>
            <w:vAlign w:val="center"/>
          </w:tcPr>
          <w:p w14:paraId="27C43086">
            <w:pPr>
              <w:spacing w:after="0"/>
            </w:pPr>
            <w:r>
              <w:rPr>
                <w:rFonts w:ascii="Calibri" w:hAnsi="Calibri" w:eastAsia="Calibri"/>
                <w:b w:val="0"/>
                <w:sz w:val="16"/>
              </w:rPr>
              <w:t>Singleton, Factory Method, Observer, DAO, MVC; Strategy thể hiện qua comparator PriorityQueue của auto-bid.</w:t>
            </w:r>
          </w:p>
        </w:tc>
        <w:tc>
          <w:tcPr>
            <w:tcW w:w="3096" w:type="dxa"/>
            <w:tcBorders>
              <w:top w:val="single" w:color="D9E2EC" w:sz="4" w:space="0"/>
              <w:left w:val="single" w:color="D9E2EC" w:sz="4" w:space="0"/>
              <w:bottom w:val="single" w:color="D9E2EC" w:sz="4" w:space="0"/>
              <w:right w:val="single" w:color="D9E2EC" w:sz="4" w:space="0"/>
            </w:tcBorders>
            <w:vAlign w:val="center"/>
          </w:tcPr>
          <w:p w14:paraId="57141E40">
            <w:pPr>
              <w:spacing w:after="0"/>
            </w:pPr>
            <w:r>
              <w:rPr>
                <w:rFonts w:ascii="Calibri" w:hAnsi="Calibri" w:eastAsia="Calibri"/>
                <w:b w:val="0"/>
                <w:sz w:val="16"/>
              </w:rPr>
              <w:t>Chọn pattern sát bài toán: realtime, tạo đối tượng theo loại, cô lập persistence.</w:t>
            </w:r>
          </w:p>
        </w:tc>
        <w:tc>
          <w:tcPr>
            <w:tcW w:w="792" w:type="dxa"/>
            <w:tcBorders>
              <w:top w:val="single" w:color="D9E2EC" w:sz="4" w:space="0"/>
              <w:left w:val="single" w:color="D9E2EC" w:sz="4" w:space="0"/>
              <w:bottom w:val="single" w:color="D9E2EC" w:sz="4" w:space="0"/>
              <w:right w:val="single" w:color="D9E2EC" w:sz="4" w:space="0"/>
            </w:tcBorders>
            <w:vAlign w:val="center"/>
          </w:tcPr>
          <w:p w14:paraId="7AAF1867">
            <w:pPr>
              <w:spacing w:after="0"/>
              <w:jc w:val="center"/>
            </w:pPr>
            <w:r>
              <w:rPr>
                <w:rFonts w:ascii="Calibri" w:hAnsi="Calibri" w:eastAsia="Calibri"/>
                <w:b w:val="0"/>
                <w:sz w:val="16"/>
              </w:rPr>
              <w:t>1.0</w:t>
            </w:r>
          </w:p>
        </w:tc>
      </w:tr>
      <w:tr w14:paraId="30A126D5">
        <w:tblPrEx>
          <w:tblCellMar>
            <w:top w:w="0" w:type="dxa"/>
            <w:left w:w="108" w:type="dxa"/>
            <w:bottom w:w="0" w:type="dxa"/>
            <w:right w:w="108" w:type="dxa"/>
          </w:tblCellMar>
        </w:tblPrEx>
        <w:tc>
          <w:tcPr>
            <w:tcW w:w="1655" w:type="dxa"/>
            <w:tcBorders>
              <w:top w:val="single" w:color="D9E2EC" w:sz="4" w:space="0"/>
              <w:left w:val="single" w:color="D9E2EC" w:sz="4" w:space="0"/>
              <w:bottom w:val="single" w:color="D9E2EC" w:sz="4" w:space="0"/>
              <w:right w:val="single" w:color="D9E2EC" w:sz="4" w:space="0"/>
            </w:tcBorders>
            <w:vAlign w:val="center"/>
          </w:tcPr>
          <w:p w14:paraId="59F72FB2">
            <w:pPr>
              <w:spacing w:after="0"/>
            </w:pPr>
            <w:r>
              <w:rPr>
                <w:rFonts w:ascii="Calibri" w:hAnsi="Calibri" w:eastAsia="Calibri"/>
                <w:b/>
                <w:sz w:val="16"/>
              </w:rPr>
              <w:t>Người dùng và sản phẩm</w:t>
            </w:r>
          </w:p>
        </w:tc>
        <w:tc>
          <w:tcPr>
            <w:tcW w:w="3528" w:type="dxa"/>
            <w:tcBorders>
              <w:top w:val="single" w:color="D9E2EC" w:sz="4" w:space="0"/>
              <w:left w:val="single" w:color="D9E2EC" w:sz="4" w:space="0"/>
              <w:bottom w:val="single" w:color="D9E2EC" w:sz="4" w:space="0"/>
              <w:right w:val="single" w:color="D9E2EC" w:sz="4" w:space="0"/>
            </w:tcBorders>
            <w:vAlign w:val="center"/>
          </w:tcPr>
          <w:p w14:paraId="7EC3DD6F">
            <w:pPr>
              <w:spacing w:after="0"/>
            </w:pPr>
            <w:r>
              <w:rPr>
                <w:rFonts w:ascii="Calibri" w:hAnsi="Calibri" w:eastAsia="Calibri"/>
                <w:b w:val="0"/>
                <w:sz w:val="16"/>
              </w:rPr>
              <w:t>Đăng ký, đăng nhập, phân quyền Bidder/Seller/Admin; seller tạo item, tạo/hủy phiên, đánh dấu paid; admin quản lý user.</w:t>
            </w:r>
          </w:p>
        </w:tc>
        <w:tc>
          <w:tcPr>
            <w:tcW w:w="3096" w:type="dxa"/>
            <w:tcBorders>
              <w:top w:val="single" w:color="D9E2EC" w:sz="4" w:space="0"/>
              <w:left w:val="single" w:color="D9E2EC" w:sz="4" w:space="0"/>
              <w:bottom w:val="single" w:color="D9E2EC" w:sz="4" w:space="0"/>
              <w:right w:val="single" w:color="D9E2EC" w:sz="4" w:space="0"/>
            </w:tcBorders>
            <w:vAlign w:val="center"/>
          </w:tcPr>
          <w:p w14:paraId="5FB98BAE">
            <w:pPr>
              <w:spacing w:after="0"/>
            </w:pPr>
            <w:r>
              <w:rPr>
                <w:rFonts w:ascii="Calibri" w:hAnsi="Calibri" w:eastAsia="Calibri"/>
                <w:b w:val="0"/>
                <w:sz w:val="16"/>
              </w:rPr>
              <w:t>Service kiểm tra quyền; DAO SQLite lưu bền vững.</w:t>
            </w:r>
          </w:p>
        </w:tc>
        <w:tc>
          <w:tcPr>
            <w:tcW w:w="792" w:type="dxa"/>
            <w:tcBorders>
              <w:top w:val="single" w:color="D9E2EC" w:sz="4" w:space="0"/>
              <w:left w:val="single" w:color="D9E2EC" w:sz="4" w:space="0"/>
              <w:bottom w:val="single" w:color="D9E2EC" w:sz="4" w:space="0"/>
              <w:right w:val="single" w:color="D9E2EC" w:sz="4" w:space="0"/>
            </w:tcBorders>
            <w:vAlign w:val="center"/>
          </w:tcPr>
          <w:p w14:paraId="786F611C">
            <w:pPr>
              <w:spacing w:after="0"/>
              <w:jc w:val="center"/>
            </w:pPr>
            <w:r>
              <w:rPr>
                <w:rFonts w:ascii="Calibri" w:hAnsi="Calibri" w:eastAsia="Calibri"/>
                <w:b w:val="0"/>
                <w:sz w:val="16"/>
              </w:rPr>
              <w:t>1.0</w:t>
            </w:r>
          </w:p>
        </w:tc>
      </w:tr>
      <w:tr w14:paraId="38FA76F0">
        <w:tblPrEx>
          <w:tblCellMar>
            <w:top w:w="0" w:type="dxa"/>
            <w:left w:w="108" w:type="dxa"/>
            <w:bottom w:w="0" w:type="dxa"/>
            <w:right w:w="108" w:type="dxa"/>
          </w:tblCellMar>
        </w:tblPrEx>
        <w:tc>
          <w:tcPr>
            <w:tcW w:w="1655" w:type="dxa"/>
            <w:tcBorders>
              <w:top w:val="single" w:color="D9E2EC" w:sz="4" w:space="0"/>
              <w:left w:val="single" w:color="D9E2EC" w:sz="4" w:space="0"/>
              <w:bottom w:val="single" w:color="D9E2EC" w:sz="4" w:space="0"/>
              <w:right w:val="single" w:color="D9E2EC" w:sz="4" w:space="0"/>
            </w:tcBorders>
            <w:vAlign w:val="center"/>
          </w:tcPr>
          <w:p w14:paraId="25F10E81">
            <w:pPr>
              <w:spacing w:after="0"/>
            </w:pPr>
            <w:r>
              <w:rPr>
                <w:rFonts w:ascii="Calibri" w:hAnsi="Calibri" w:eastAsia="Calibri"/>
                <w:b/>
                <w:sz w:val="16"/>
              </w:rPr>
              <w:t>Đấu giá và kết thúc phiên</w:t>
            </w:r>
          </w:p>
        </w:tc>
        <w:tc>
          <w:tcPr>
            <w:tcW w:w="3528" w:type="dxa"/>
            <w:tcBorders>
              <w:top w:val="single" w:color="D9E2EC" w:sz="4" w:space="0"/>
              <w:left w:val="single" w:color="D9E2EC" w:sz="4" w:space="0"/>
              <w:bottom w:val="single" w:color="D9E2EC" w:sz="4" w:space="0"/>
              <w:right w:val="single" w:color="D9E2EC" w:sz="4" w:space="0"/>
            </w:tcBorders>
            <w:vAlign w:val="center"/>
          </w:tcPr>
          <w:p w14:paraId="10DDB452">
            <w:pPr>
              <w:spacing w:after="0"/>
            </w:pPr>
            <w:r>
              <w:rPr>
                <w:rFonts w:ascii="Calibri" w:hAnsi="Calibri" w:eastAsia="Calibri"/>
                <w:b w:val="0"/>
                <w:sz w:val="16"/>
              </w:rPr>
              <w:t>Bid hợp lệ phải cao hơn giá hiện tại; cập nhật người dẫn đầu; scheduler tự đóng phiên và xác định FINISHED/CANCELED/PAID.</w:t>
            </w:r>
          </w:p>
        </w:tc>
        <w:tc>
          <w:tcPr>
            <w:tcW w:w="3096" w:type="dxa"/>
            <w:tcBorders>
              <w:top w:val="single" w:color="D9E2EC" w:sz="4" w:space="0"/>
              <w:left w:val="single" w:color="D9E2EC" w:sz="4" w:space="0"/>
              <w:bottom w:val="single" w:color="D9E2EC" w:sz="4" w:space="0"/>
              <w:right w:val="single" w:color="D9E2EC" w:sz="4" w:space="0"/>
            </w:tcBorders>
            <w:vAlign w:val="center"/>
          </w:tcPr>
          <w:p w14:paraId="10EABE50">
            <w:pPr>
              <w:spacing w:after="0"/>
            </w:pPr>
            <w:r>
              <w:rPr>
                <w:rFonts w:ascii="Calibri" w:hAnsi="Calibri" w:eastAsia="Calibri"/>
                <w:b w:val="0"/>
                <w:sz w:val="16"/>
              </w:rPr>
              <w:t>AuctionService quản lý vòng đời, BidService quản lý bid.</w:t>
            </w:r>
          </w:p>
        </w:tc>
        <w:tc>
          <w:tcPr>
            <w:tcW w:w="792" w:type="dxa"/>
            <w:tcBorders>
              <w:top w:val="single" w:color="D9E2EC" w:sz="4" w:space="0"/>
              <w:left w:val="single" w:color="D9E2EC" w:sz="4" w:space="0"/>
              <w:bottom w:val="single" w:color="D9E2EC" w:sz="4" w:space="0"/>
              <w:right w:val="single" w:color="D9E2EC" w:sz="4" w:space="0"/>
            </w:tcBorders>
            <w:vAlign w:val="center"/>
          </w:tcPr>
          <w:p w14:paraId="5120E58C">
            <w:pPr>
              <w:spacing w:after="0"/>
              <w:jc w:val="center"/>
              <w:rPr>
                <w:rFonts w:hint="default"/>
                <w:lang w:val="en-US"/>
              </w:rPr>
            </w:pPr>
            <w:r>
              <w:rPr>
                <w:rFonts w:ascii="Calibri" w:hAnsi="Calibri" w:eastAsia="Calibri"/>
                <w:b w:val="0"/>
                <w:sz w:val="16"/>
              </w:rPr>
              <w:t>1.0</w:t>
            </w:r>
            <w:bookmarkStart w:id="0" w:name="_GoBack"/>
            <w:bookmarkEnd w:id="0"/>
          </w:p>
        </w:tc>
      </w:tr>
      <w:tr w14:paraId="3B7981EF">
        <w:tblPrEx>
          <w:tblCellMar>
            <w:top w:w="0" w:type="dxa"/>
            <w:left w:w="108" w:type="dxa"/>
            <w:bottom w:w="0" w:type="dxa"/>
            <w:right w:w="108" w:type="dxa"/>
          </w:tblCellMar>
        </w:tblPrEx>
        <w:tc>
          <w:tcPr>
            <w:tcW w:w="1655" w:type="dxa"/>
            <w:tcBorders>
              <w:top w:val="single" w:color="D9E2EC" w:sz="4" w:space="0"/>
              <w:left w:val="single" w:color="D9E2EC" w:sz="4" w:space="0"/>
              <w:bottom w:val="single" w:color="D9E2EC" w:sz="4" w:space="0"/>
              <w:right w:val="single" w:color="D9E2EC" w:sz="4" w:space="0"/>
            </w:tcBorders>
            <w:vAlign w:val="center"/>
          </w:tcPr>
          <w:p w14:paraId="4D0058E1">
            <w:pPr>
              <w:spacing w:after="0"/>
            </w:pPr>
            <w:r>
              <w:rPr>
                <w:rFonts w:ascii="Calibri" w:hAnsi="Calibri" w:eastAsia="Calibri"/>
                <w:b/>
                <w:sz w:val="16"/>
              </w:rPr>
              <w:t>Lỗi, ngoại lệ, concurrency</w:t>
            </w:r>
          </w:p>
        </w:tc>
        <w:tc>
          <w:tcPr>
            <w:tcW w:w="3528" w:type="dxa"/>
            <w:tcBorders>
              <w:top w:val="single" w:color="D9E2EC" w:sz="4" w:space="0"/>
              <w:left w:val="single" w:color="D9E2EC" w:sz="4" w:space="0"/>
              <w:bottom w:val="single" w:color="D9E2EC" w:sz="4" w:space="0"/>
              <w:right w:val="single" w:color="D9E2EC" w:sz="4" w:space="0"/>
            </w:tcBorders>
            <w:vAlign w:val="center"/>
          </w:tcPr>
          <w:p w14:paraId="05A7DF8E">
            <w:pPr>
              <w:spacing w:after="0"/>
            </w:pPr>
            <w:r>
              <w:rPr>
                <w:rFonts w:ascii="Calibri" w:hAnsi="Calibri" w:eastAsia="Calibri"/>
                <w:b w:val="0"/>
                <w:sz w:val="16"/>
              </w:rPr>
              <w:t>AuthException, AuctionException, BidException; per-auction ReentrantLock chống lost update/race condition.</w:t>
            </w:r>
          </w:p>
        </w:tc>
        <w:tc>
          <w:tcPr>
            <w:tcW w:w="3096" w:type="dxa"/>
            <w:tcBorders>
              <w:top w:val="single" w:color="D9E2EC" w:sz="4" w:space="0"/>
              <w:left w:val="single" w:color="D9E2EC" w:sz="4" w:space="0"/>
              <w:bottom w:val="single" w:color="D9E2EC" w:sz="4" w:space="0"/>
              <w:right w:val="single" w:color="D9E2EC" w:sz="4" w:space="0"/>
            </w:tcBorders>
            <w:vAlign w:val="center"/>
          </w:tcPr>
          <w:p w14:paraId="2B408695">
            <w:pPr>
              <w:spacing w:after="0"/>
            </w:pPr>
            <w:r>
              <w:rPr>
                <w:rFonts w:ascii="Calibri" w:hAnsi="Calibri" w:eastAsia="Calibri"/>
                <w:b w:val="0"/>
                <w:sz w:val="16"/>
              </w:rPr>
              <w:t>Khóa theo từng auction giữ đúng dữ liệu mà không chặn các phiên độc lập.</w:t>
            </w:r>
          </w:p>
        </w:tc>
        <w:tc>
          <w:tcPr>
            <w:tcW w:w="792" w:type="dxa"/>
            <w:tcBorders>
              <w:top w:val="single" w:color="D9E2EC" w:sz="4" w:space="0"/>
              <w:left w:val="single" w:color="D9E2EC" w:sz="4" w:space="0"/>
              <w:bottom w:val="single" w:color="D9E2EC" w:sz="4" w:space="0"/>
              <w:right w:val="single" w:color="D9E2EC" w:sz="4" w:space="0"/>
            </w:tcBorders>
            <w:vAlign w:val="center"/>
          </w:tcPr>
          <w:p w14:paraId="3EC03217">
            <w:pPr>
              <w:spacing w:after="0"/>
              <w:jc w:val="center"/>
            </w:pPr>
            <w:r>
              <w:rPr>
                <w:rFonts w:ascii="Calibri" w:hAnsi="Calibri" w:eastAsia="Calibri"/>
                <w:b w:val="0"/>
                <w:sz w:val="16"/>
              </w:rPr>
              <w:t>2.0</w:t>
            </w:r>
          </w:p>
        </w:tc>
      </w:tr>
      <w:tr w14:paraId="5FBA72BE">
        <w:tblPrEx>
          <w:tblCellMar>
            <w:top w:w="0" w:type="dxa"/>
            <w:left w:w="108" w:type="dxa"/>
            <w:bottom w:w="0" w:type="dxa"/>
            <w:right w:w="108" w:type="dxa"/>
          </w:tblCellMar>
        </w:tblPrEx>
        <w:tc>
          <w:tcPr>
            <w:tcW w:w="1655" w:type="dxa"/>
            <w:tcBorders>
              <w:top w:val="single" w:color="D9E2EC" w:sz="4" w:space="0"/>
              <w:left w:val="single" w:color="D9E2EC" w:sz="4" w:space="0"/>
              <w:bottom w:val="single" w:color="D9E2EC" w:sz="4" w:space="0"/>
              <w:right w:val="single" w:color="D9E2EC" w:sz="4" w:space="0"/>
            </w:tcBorders>
            <w:vAlign w:val="center"/>
          </w:tcPr>
          <w:p w14:paraId="4AEB7249">
            <w:pPr>
              <w:spacing w:after="0"/>
            </w:pPr>
            <w:r>
              <w:rPr>
                <w:rFonts w:ascii="Calibri" w:hAnsi="Calibri" w:eastAsia="Calibri"/>
                <w:b/>
                <w:sz w:val="16"/>
              </w:rPr>
              <w:t>Realtime update</w:t>
            </w:r>
          </w:p>
        </w:tc>
        <w:tc>
          <w:tcPr>
            <w:tcW w:w="3528" w:type="dxa"/>
            <w:tcBorders>
              <w:top w:val="single" w:color="D9E2EC" w:sz="4" w:space="0"/>
              <w:left w:val="single" w:color="D9E2EC" w:sz="4" w:space="0"/>
              <w:bottom w:val="single" w:color="D9E2EC" w:sz="4" w:space="0"/>
              <w:right w:val="single" w:color="D9E2EC" w:sz="4" w:space="0"/>
            </w:tcBorders>
            <w:vAlign w:val="center"/>
          </w:tcPr>
          <w:p w14:paraId="7B563411">
            <w:pPr>
              <w:spacing w:after="0"/>
            </w:pPr>
            <w:r>
              <w:rPr>
                <w:rFonts w:ascii="Calibri" w:hAnsi="Calibri" w:eastAsia="Calibri"/>
                <w:b w:val="0"/>
                <w:sz w:val="16"/>
              </w:rPr>
              <w:t>Client watch auction nhận BID_BROADCAST, AUCTION_EXTENDED, AUCTION_END_BROADCAST qua socket.</w:t>
            </w:r>
          </w:p>
        </w:tc>
        <w:tc>
          <w:tcPr>
            <w:tcW w:w="3096" w:type="dxa"/>
            <w:tcBorders>
              <w:top w:val="single" w:color="D9E2EC" w:sz="4" w:space="0"/>
              <w:left w:val="single" w:color="D9E2EC" w:sz="4" w:space="0"/>
              <w:bottom w:val="single" w:color="D9E2EC" w:sz="4" w:space="0"/>
              <w:right w:val="single" w:color="D9E2EC" w:sz="4" w:space="0"/>
            </w:tcBorders>
            <w:vAlign w:val="center"/>
          </w:tcPr>
          <w:p w14:paraId="6D48AF77">
            <w:pPr>
              <w:spacing w:after="0"/>
            </w:pPr>
            <w:r>
              <w:rPr>
                <w:rFonts w:ascii="Calibri" w:hAnsi="Calibri" w:eastAsia="Calibri"/>
                <w:b w:val="0"/>
                <w:sz w:val="16"/>
              </w:rPr>
              <w:t>Observer/EventBus giúp server push, không cần polling.</w:t>
            </w:r>
          </w:p>
        </w:tc>
        <w:tc>
          <w:tcPr>
            <w:tcW w:w="792" w:type="dxa"/>
            <w:tcBorders>
              <w:top w:val="single" w:color="D9E2EC" w:sz="4" w:space="0"/>
              <w:left w:val="single" w:color="D9E2EC" w:sz="4" w:space="0"/>
              <w:bottom w:val="single" w:color="D9E2EC" w:sz="4" w:space="0"/>
              <w:right w:val="single" w:color="D9E2EC" w:sz="4" w:space="0"/>
            </w:tcBorders>
            <w:vAlign w:val="center"/>
          </w:tcPr>
          <w:p w14:paraId="3F88F6AE">
            <w:pPr>
              <w:spacing w:after="0"/>
              <w:jc w:val="center"/>
            </w:pPr>
            <w:r>
              <w:rPr>
                <w:rFonts w:ascii="Calibri" w:hAnsi="Calibri" w:eastAsia="Calibri"/>
                <w:b w:val="0"/>
                <w:sz w:val="16"/>
              </w:rPr>
              <w:t>0.5</w:t>
            </w:r>
          </w:p>
        </w:tc>
      </w:tr>
      <w:tr w14:paraId="3D6B8BC8">
        <w:tblPrEx>
          <w:tblCellMar>
            <w:top w:w="0" w:type="dxa"/>
            <w:left w:w="108" w:type="dxa"/>
            <w:bottom w:w="0" w:type="dxa"/>
            <w:right w:w="108" w:type="dxa"/>
          </w:tblCellMar>
        </w:tblPrEx>
        <w:tc>
          <w:tcPr>
            <w:tcW w:w="1655" w:type="dxa"/>
            <w:tcBorders>
              <w:top w:val="single" w:color="D9E2EC" w:sz="4" w:space="0"/>
              <w:left w:val="single" w:color="D9E2EC" w:sz="4" w:space="0"/>
              <w:bottom w:val="single" w:color="D9E2EC" w:sz="4" w:space="0"/>
              <w:right w:val="single" w:color="D9E2EC" w:sz="4" w:space="0"/>
            </w:tcBorders>
            <w:vAlign w:val="center"/>
          </w:tcPr>
          <w:p w14:paraId="0A5A4068">
            <w:pPr>
              <w:spacing w:after="0"/>
            </w:pPr>
            <w:r>
              <w:rPr>
                <w:rFonts w:ascii="Calibri" w:hAnsi="Calibri" w:eastAsia="Calibri"/>
                <w:b/>
                <w:sz w:val="16"/>
              </w:rPr>
              <w:t>Kiến trúc, MVC, chất lượng</w:t>
            </w:r>
          </w:p>
        </w:tc>
        <w:tc>
          <w:tcPr>
            <w:tcW w:w="3528" w:type="dxa"/>
            <w:tcBorders>
              <w:top w:val="single" w:color="D9E2EC" w:sz="4" w:space="0"/>
              <w:left w:val="single" w:color="D9E2EC" w:sz="4" w:space="0"/>
              <w:bottom w:val="single" w:color="D9E2EC" w:sz="4" w:space="0"/>
              <w:right w:val="single" w:color="D9E2EC" w:sz="4" w:space="0"/>
            </w:tcBorders>
            <w:vAlign w:val="center"/>
          </w:tcPr>
          <w:p w14:paraId="508D07CF">
            <w:pPr>
              <w:spacing w:after="0"/>
            </w:pPr>
            <w:r>
              <w:rPr>
                <w:rFonts w:ascii="Calibri" w:hAnsi="Calibri" w:eastAsia="Calibri"/>
                <w:b w:val="0"/>
                <w:sz w:val="16"/>
              </w:rPr>
              <w:t>Client JavaFX + FXML; server Handler -&gt; Service -&gt; DAO; Maven multi-module; JUnit/Mockito; GitHub Actions chạy test.</w:t>
            </w:r>
          </w:p>
        </w:tc>
        <w:tc>
          <w:tcPr>
            <w:tcW w:w="3096" w:type="dxa"/>
            <w:tcBorders>
              <w:top w:val="single" w:color="D9E2EC" w:sz="4" w:space="0"/>
              <w:left w:val="single" w:color="D9E2EC" w:sz="4" w:space="0"/>
              <w:bottom w:val="single" w:color="D9E2EC" w:sz="4" w:space="0"/>
              <w:right w:val="single" w:color="D9E2EC" w:sz="4" w:space="0"/>
            </w:tcBorders>
            <w:vAlign w:val="center"/>
          </w:tcPr>
          <w:p w14:paraId="53DD3647">
            <w:pPr>
              <w:spacing w:after="0"/>
            </w:pPr>
            <w:r>
              <w:rPr>
                <w:rFonts w:ascii="Calibri" w:hAnsi="Calibri" w:eastAsia="Calibri"/>
                <w:b w:val="0"/>
                <w:sz w:val="16"/>
              </w:rPr>
              <w:t>Tách module common/client/server, dễ build và kiểm thử.</w:t>
            </w:r>
          </w:p>
        </w:tc>
        <w:tc>
          <w:tcPr>
            <w:tcW w:w="792" w:type="dxa"/>
            <w:tcBorders>
              <w:top w:val="single" w:color="D9E2EC" w:sz="4" w:space="0"/>
              <w:left w:val="single" w:color="D9E2EC" w:sz="4" w:space="0"/>
              <w:bottom w:val="single" w:color="D9E2EC" w:sz="4" w:space="0"/>
              <w:right w:val="single" w:color="D9E2EC" w:sz="4" w:space="0"/>
            </w:tcBorders>
            <w:vAlign w:val="center"/>
          </w:tcPr>
          <w:p w14:paraId="3D922364">
            <w:pPr>
              <w:spacing w:after="0"/>
              <w:jc w:val="center"/>
            </w:pPr>
            <w:r>
              <w:rPr>
                <w:rFonts w:ascii="Calibri" w:hAnsi="Calibri" w:eastAsia="Calibri"/>
                <w:b w:val="0"/>
                <w:sz w:val="16"/>
              </w:rPr>
              <w:t>2.0</w:t>
            </w:r>
          </w:p>
        </w:tc>
      </w:tr>
      <w:tr w14:paraId="645731D9">
        <w:tblPrEx>
          <w:tblCellMar>
            <w:top w:w="0" w:type="dxa"/>
            <w:left w:w="108" w:type="dxa"/>
            <w:bottom w:w="0" w:type="dxa"/>
            <w:right w:w="108" w:type="dxa"/>
          </w:tblCellMar>
        </w:tblPrEx>
        <w:tc>
          <w:tcPr>
            <w:tcW w:w="1655" w:type="dxa"/>
            <w:tcBorders>
              <w:top w:val="single" w:color="D9E2EC" w:sz="4" w:space="0"/>
              <w:left w:val="single" w:color="D9E2EC" w:sz="4" w:space="0"/>
              <w:bottom w:val="single" w:color="D9E2EC" w:sz="4" w:space="0"/>
              <w:right w:val="single" w:color="D9E2EC" w:sz="4" w:space="0"/>
            </w:tcBorders>
            <w:vAlign w:val="center"/>
          </w:tcPr>
          <w:p w14:paraId="7B6E8A8B">
            <w:pPr>
              <w:spacing w:after="0"/>
            </w:pPr>
            <w:r>
              <w:rPr>
                <w:rFonts w:ascii="Calibri" w:hAnsi="Calibri" w:eastAsia="Calibri"/>
                <w:b/>
                <w:sz w:val="16"/>
              </w:rPr>
              <w:t>Nâng cao</w:t>
            </w:r>
          </w:p>
        </w:tc>
        <w:tc>
          <w:tcPr>
            <w:tcW w:w="3528" w:type="dxa"/>
            <w:tcBorders>
              <w:top w:val="single" w:color="D9E2EC" w:sz="4" w:space="0"/>
              <w:left w:val="single" w:color="D9E2EC" w:sz="4" w:space="0"/>
              <w:bottom w:val="single" w:color="D9E2EC" w:sz="4" w:space="0"/>
              <w:right w:val="single" w:color="D9E2EC" w:sz="4" w:space="0"/>
            </w:tcBorders>
            <w:vAlign w:val="center"/>
          </w:tcPr>
          <w:p w14:paraId="71760637">
            <w:pPr>
              <w:spacing w:after="0"/>
            </w:pPr>
            <w:r>
              <w:rPr>
                <w:rFonts w:ascii="Calibri" w:hAnsi="Calibri" w:eastAsia="Calibri"/>
                <w:b w:val="0"/>
                <w:sz w:val="16"/>
              </w:rPr>
              <w:t>Auto-bidding maxBid/increment; anti-sniping 30s + 60s; line chart lịch sử giá realtime.</w:t>
            </w:r>
          </w:p>
        </w:tc>
        <w:tc>
          <w:tcPr>
            <w:tcW w:w="3096" w:type="dxa"/>
            <w:tcBorders>
              <w:top w:val="single" w:color="D9E2EC" w:sz="4" w:space="0"/>
              <w:left w:val="single" w:color="D9E2EC" w:sz="4" w:space="0"/>
              <w:bottom w:val="single" w:color="D9E2EC" w:sz="4" w:space="0"/>
              <w:right w:val="single" w:color="D9E2EC" w:sz="4" w:space="0"/>
            </w:tcBorders>
            <w:vAlign w:val="center"/>
          </w:tcPr>
          <w:p w14:paraId="035250A4">
            <w:pPr>
              <w:spacing w:after="0"/>
            </w:pPr>
            <w:r>
              <w:rPr>
                <w:rFonts w:ascii="Calibri" w:hAnsi="Calibri" w:eastAsia="Calibri"/>
                <w:b w:val="0"/>
                <w:sz w:val="16"/>
              </w:rPr>
              <w:t>Các chức năng tăng trải nghiệm và thể hiện xử lý thuật toán.</w:t>
            </w:r>
          </w:p>
        </w:tc>
        <w:tc>
          <w:tcPr>
            <w:tcW w:w="792" w:type="dxa"/>
            <w:tcBorders>
              <w:top w:val="single" w:color="D9E2EC" w:sz="4" w:space="0"/>
              <w:left w:val="single" w:color="D9E2EC" w:sz="4" w:space="0"/>
              <w:bottom w:val="single" w:color="D9E2EC" w:sz="4" w:space="0"/>
              <w:right w:val="single" w:color="D9E2EC" w:sz="4" w:space="0"/>
            </w:tcBorders>
            <w:vAlign w:val="center"/>
          </w:tcPr>
          <w:p w14:paraId="4FFF9A82">
            <w:pPr>
              <w:spacing w:after="0"/>
              <w:jc w:val="center"/>
            </w:pPr>
            <w:r>
              <w:rPr>
                <w:rFonts w:ascii="Calibri" w:hAnsi="Calibri" w:eastAsia="Calibri"/>
                <w:b w:val="0"/>
                <w:sz w:val="16"/>
              </w:rPr>
              <w:t>1.5</w:t>
            </w:r>
          </w:p>
        </w:tc>
      </w:tr>
    </w:tbl>
    <w:p w14:paraId="4BD993F9">
      <w:pPr>
        <w:pStyle w:val="2"/>
      </w:pPr>
      <w:r>
        <w:t>4. Các quyết định kỹ thuật chính</w:t>
      </w:r>
    </w:p>
    <w:p w14:paraId="298E9490">
      <w:pPr>
        <w:pStyle w:val="23"/>
        <w:spacing w:after="60"/>
      </w:pPr>
      <w:r>
        <w:rPr>
          <w:rFonts w:ascii="Calibri" w:hAnsi="Calibri" w:eastAsia="Calibri"/>
          <w:b w:val="0"/>
          <w:sz w:val="20"/>
        </w:rPr>
        <w:t>TCP socket thay cho REST vì nghiệp vụ yêu cầu server push bid mới ngay lập tức đến tất cả client đang xem phiên.</w:t>
      </w:r>
    </w:p>
    <w:p w14:paraId="73CFFBCE">
      <w:pPr>
        <w:pStyle w:val="23"/>
        <w:spacing w:after="60"/>
      </w:pPr>
      <w:r>
        <w:rPr>
          <w:rFonts w:ascii="Calibri" w:hAnsi="Calibri" w:eastAsia="Calibri"/>
          <w:b w:val="0"/>
          <w:sz w:val="20"/>
        </w:rPr>
        <w:t>SQLite được chọn vì triển khai gọn, một file dữ liệu, phù hợp bài tập desktop; DAO synchronized và service lock bảo vệ điểm ghi nhạy cảm.</w:t>
      </w:r>
    </w:p>
    <w:p w14:paraId="4D0C2158">
      <w:pPr>
        <w:pStyle w:val="23"/>
        <w:spacing w:after="60"/>
      </w:pPr>
      <w:r>
        <w:rPr>
          <w:rFonts w:ascii="Calibri" w:hAnsi="Calibri" w:eastAsia="Calibri"/>
          <w:b w:val="0"/>
          <w:sz w:val="20"/>
        </w:rPr>
        <w:t>Per-auction ReentrantLock trong BidService giúp tuần tự hóa bid trong cùng một phiên nhưng vẫn cho phép các phiên khác chạy song song.</w:t>
      </w:r>
    </w:p>
    <w:p w14:paraId="484DD8A1">
      <w:pPr>
        <w:pStyle w:val="23"/>
        <w:spacing w:after="60"/>
      </w:pPr>
      <w:r>
        <w:rPr>
          <w:rFonts w:ascii="Calibri" w:hAnsi="Calibri" w:eastAsia="Calibri"/>
          <w:b w:val="0"/>
          <w:sz w:val="20"/>
        </w:rPr>
        <w:t>PriorityQueue cho auto-bid giúp chọn người có maxBid cao nhất, nếu bằng nhau ưu tiên người đăng ký trước; mỗi auto-bid được lưu như BidTransaction.</w:t>
      </w:r>
    </w:p>
    <w:p w14:paraId="60E56DF4">
      <w:pPr>
        <w:pStyle w:val="23"/>
        <w:spacing w:after="60"/>
      </w:pPr>
      <w:r>
        <w:rPr>
          <w:rFonts w:ascii="Calibri" w:hAnsi="Calibri" w:eastAsia="Calibri"/>
          <w:b w:val="0"/>
          <w:sz w:val="20"/>
        </w:rPr>
        <w:t>ScheduledExecutorService trong AuctionService tự đóng phiên theo endTime; anti-sniping gia hạn khi bid đến trong 30 giây cuối.</w:t>
      </w:r>
    </w:p>
    <w:p w14:paraId="6073E759">
      <w:pPr>
        <w:pStyle w:val="23"/>
        <w:spacing w:after="60"/>
      </w:pPr>
      <w:r>
        <w:rPr>
          <w:rFonts w:ascii="Calibri" w:hAnsi="Calibri" w:eastAsia="Calibri"/>
          <w:b w:val="0"/>
          <w:sz w:val="20"/>
        </w:rPr>
        <w:t>Manual dependency injection trong AuctionServer giúp dependency rõ ràng, tránh thêm framework nặng khi graph còn nhỏ.</w:t>
      </w:r>
    </w:p>
    <w:p w14:paraId="5BD33BC4">
      <w:pPr>
        <w:pStyle w:val="2"/>
      </w:pPr>
      <w:r>
        <w:t>5. Kết luận</w:t>
      </w:r>
    </w:p>
    <w:p w14:paraId="06932428">
      <w:r>
        <w:rPr>
          <w:rFonts w:ascii="Calibri" w:hAnsi="Calibri" w:eastAsia="Calibri"/>
          <w:b w:val="0"/>
          <w:sz w:val="21"/>
        </w:rPr>
        <w:t>Project đã đáp ứng các yêu cầu bắt buộc của đề bài và có đủ ba chức năng nâng cao trong barem: auto-bidding, anti-sniping và biểu đồ lịch sử giá realtime. Thiết kế hiện tại ưu tiên tính rõ ràng, dễ kiểm thử và đúng nghiệp vụ đấu giá: domain model tách biệt, server giữ quyền truy cập dữ liệu, các thay đổi giá được khóa theo phiên, và realtime update được đẩy qua Observer/EventBus.</w:t>
      </w:r>
    </w:p>
    <w:sectPr>
      <w:footerReference r:id="rId5" w:type="default"/>
      <w:pgSz w:w="12240" w:h="15840"/>
      <w:pgMar w:top="936" w:right="1080" w:bottom="936" w:left="1080"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75FCA">
    <w:pPr>
      <w:pStyle w:val="18"/>
      <w:jc w:val="right"/>
    </w:pPr>
    <w:r>
      <w:rPr>
        <w:rFonts w:ascii="Calibri" w:hAnsi="Calibri" w:eastAsia="Calibri"/>
        <w:b w:val="0"/>
        <w:color w:val="777777"/>
        <w:sz w:val="16"/>
      </w:rPr>
      <w:t>Báo cáo tóm tắt - tối đa 5 trang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4E16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Calibri" w:hAnsi="Calibri" w:eastAsia="Calibri" w:cstheme="minorBidi"/>
      <w:sz w:val="21"/>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2E74B5"/>
      <w:sz w:val="30"/>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2E74B5"/>
      <w:sz w:val="24"/>
      <w:szCs w:val="26"/>
    </w:rPr>
  </w:style>
  <w:style w:type="paragraph" w:styleId="4">
    <w:name w:val="heading 3"/>
    <w:basedOn w:val="1"/>
    <w:next w:val="1"/>
    <w:link w:val="140"/>
    <w:unhideWhenUsed/>
    <w:qFormat/>
    <w:uiPriority w:val="9"/>
    <w:pPr>
      <w:keepNext/>
      <w:keepLines/>
      <w:spacing w:before="120" w:after="60"/>
      <w:outlineLvl w:val="2"/>
    </w:pPr>
    <w:rPr>
      <w:rFonts w:asciiTheme="majorHAnsi" w:hAnsiTheme="majorHAnsi" w:eastAsiaTheme="majorEastAsia" w:cstheme="majorBidi"/>
      <w:b/>
      <w:bCs/>
      <w:color w:val="1F4D78"/>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 Quan</cp:lastModifiedBy>
  <dcterms:modified xsi:type="dcterms:W3CDTF">2026-05-25T02:40:45Z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174601EAEAC441068DC25AB2A265EF76_12</vt:lpwstr>
  </property>
</Properties>
</file>