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D7BC" w14:textId="31CE6FE8" w:rsidR="003A3FE1" w:rsidRDefault="190B0BD3" w:rsidP="190B0BD3">
      <w:pPr>
        <w:shd w:val="clear" w:color="auto" w:fill="FFFFFF" w:themeFill="background1"/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Пункт 6.4.6 Второстепенные проблемы</w:t>
      </w:r>
    </w:p>
    <w:p w14:paraId="67DBD11E" w14:textId="5CC92DD4" w:rsidR="003A3FE1" w:rsidRDefault="190B0BD3" w:rsidP="190B0BD3">
      <w:pPr>
        <w:pStyle w:val="a7"/>
        <w:numPr>
          <w:ilvl w:val="0"/>
          <w:numId w:val="1"/>
        </w:numPr>
        <w:spacing w:before="0" w:after="0"/>
        <w:ind w:left="-360" w:firstLine="709"/>
        <w:contextualSpacing w:val="0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Кандидаты не понимают, что именно от них требуется. 69% настораживают размытые формулировки обязанностей в вакансиях. </w:t>
      </w:r>
    </w:p>
    <w:p w14:paraId="2E60397A" w14:textId="75F7FBB0" w:rsidR="003A3FE1" w:rsidRDefault="190B0BD3" w:rsidP="190B0BD3">
      <w:pPr>
        <w:pStyle w:val="a7"/>
        <w:spacing w:before="0" w:after="0"/>
        <w:ind w:left="0" w:firstLine="709"/>
        <w:contextualSpacing w:val="0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 xml:space="preserve">Решение </w:t>
      </w:r>
      <w:r w:rsidRPr="190B0BD3">
        <w:rPr>
          <w:rFonts w:eastAsia="Times New Roman" w:cs="Times New Roman"/>
          <w:color w:val="000000" w:themeColor="text1"/>
          <w:szCs w:val="28"/>
        </w:rPr>
        <w:t>- сайт-навигатор последовательно отвечает на вопросы, а игра наглядно демонстрирует конкретные рабочие задачи и компетенции, которые понадобятся сотруднику.</w:t>
      </w:r>
    </w:p>
    <w:p w14:paraId="44DF24A8" w14:textId="793D977D" w:rsidR="003A3FE1" w:rsidRDefault="003A3FE1" w:rsidP="190B0BD3">
      <w:pPr>
        <w:pStyle w:val="a7"/>
        <w:spacing w:before="0" w:after="0"/>
        <w:ind w:left="0" w:firstLine="709"/>
        <w:contextualSpacing w:val="0"/>
        <w:rPr>
          <w:rFonts w:eastAsia="Times New Roman" w:cs="Times New Roman"/>
          <w:color w:val="000000" w:themeColor="text1"/>
          <w:szCs w:val="28"/>
        </w:rPr>
      </w:pPr>
    </w:p>
    <w:p w14:paraId="1E1DC29D" w14:textId="1A29987C" w:rsidR="003A3FE1" w:rsidRDefault="190B0BD3" w:rsidP="190B0BD3">
      <w:pPr>
        <w:pStyle w:val="a7"/>
        <w:numPr>
          <w:ilvl w:val="0"/>
          <w:numId w:val="1"/>
        </w:numPr>
        <w:spacing w:before="0" w:after="0"/>
        <w:ind w:left="-360" w:firstLine="709"/>
        <w:contextualSpacing w:val="0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Слово «завод» у 59% молодежи ассоциируется с грязью, шумом и опасностью, тяжёлым физическим трудом и ограниченными перспективами. Для «Очаково» это прямой барьер: молодёжь может не рассматривать производственные вакансии из-за стереотипа, даже если условия современные.</w:t>
      </w:r>
    </w:p>
    <w:p w14:paraId="7D6969B9" w14:textId="31DF1A34" w:rsidR="003A3FE1" w:rsidRDefault="190B0BD3" w:rsidP="190B0BD3">
      <w:pPr>
        <w:pStyle w:val="a7"/>
        <w:spacing w:before="0" w:after="0"/>
        <w:ind w:left="0" w:firstLine="709"/>
        <w:contextualSpacing w:val="0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 xml:space="preserve">Решение </w:t>
      </w:r>
      <w:r w:rsidRPr="190B0BD3">
        <w:rPr>
          <w:rFonts w:eastAsia="Times New Roman" w:cs="Times New Roman"/>
          <w:color w:val="000000" w:themeColor="text1"/>
          <w:szCs w:val="28"/>
        </w:rPr>
        <w:t>- визуальный язык игры и видео (современные цеха, лаборатории, чистые линии розлива) разрушает этот стереотип, показывая «Очаково» как технологичное производство.</w:t>
      </w:r>
    </w:p>
    <w:p w14:paraId="6147D1E9" w14:textId="0094AD35" w:rsidR="003A3FE1" w:rsidRDefault="003A3FE1" w:rsidP="190B0BD3">
      <w:pPr>
        <w:pStyle w:val="a7"/>
        <w:spacing w:before="0" w:after="0"/>
        <w:ind w:left="0" w:firstLine="709"/>
        <w:contextualSpacing w:val="0"/>
        <w:rPr>
          <w:rFonts w:eastAsia="Times New Roman" w:cs="Times New Roman"/>
          <w:color w:val="000000" w:themeColor="text1"/>
          <w:szCs w:val="28"/>
        </w:rPr>
      </w:pPr>
    </w:p>
    <w:p w14:paraId="26625CD8" w14:textId="5931B260" w:rsidR="003A3FE1" w:rsidRDefault="190B0BD3" w:rsidP="190B0BD3">
      <w:pPr>
        <w:pStyle w:val="a7"/>
        <w:numPr>
          <w:ilvl w:val="0"/>
          <w:numId w:val="1"/>
        </w:numPr>
        <w:spacing w:before="0" w:after="0"/>
        <w:ind w:left="-360" w:firstLine="709"/>
        <w:contextualSpacing w:val="0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Компания не знает, какие профессии вызывают у молодежи наибольший интерес, а какие остаются незамеченными. </w:t>
      </w:r>
    </w:p>
    <w:p w14:paraId="120DAE81" w14:textId="677A6E9C" w:rsidR="003A3FE1" w:rsidRDefault="190B0BD3" w:rsidP="190B0BD3">
      <w:pPr>
        <w:pStyle w:val="a7"/>
        <w:spacing w:before="0" w:after="0"/>
        <w:ind w:left="0" w:firstLine="709"/>
        <w:contextualSpacing w:val="0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 xml:space="preserve">Решение </w:t>
      </w:r>
      <w:r w:rsidRPr="190B0BD3">
        <w:rPr>
          <w:rFonts w:eastAsia="Times New Roman" w:cs="Times New Roman"/>
          <w:color w:val="000000" w:themeColor="text1"/>
          <w:szCs w:val="28"/>
        </w:rPr>
        <w:t>- админ-панель собирает аналитику: какие профессии тестировали в игре, сколько попыток сделали, на какую вакансию откликнулись. Это позволяет принимать взвешенные управленческие решения.</w:t>
      </w:r>
    </w:p>
    <w:p w14:paraId="602CCFAA" w14:textId="2D2AA048" w:rsidR="3E6BD751" w:rsidRDefault="3E6BD751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562155A8" w14:textId="64496BB3" w:rsidR="3E6BD751" w:rsidRDefault="190B0BD3" w:rsidP="190B0BD3">
      <w:pPr>
        <w:shd w:val="clear" w:color="auto" w:fill="FFFFFF" w:themeFill="background1"/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Пункт 6.4.7 Аналитика</w:t>
      </w:r>
    </w:p>
    <w:p w14:paraId="4D9D893F" w14:textId="29F0D412" w:rsidR="3E6BD751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Синдром самозванца</w:t>
      </w:r>
    </w:p>
    <w:p w14:paraId="352900AF" w14:textId="75DD2C2B" w:rsidR="3E6BD751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Согласно исследованию соцсети «Сетка» и платформы hh.ru, 52% молодых людей в возрасте до 24 лет и 40% в возрасте 25–34 лет испытывают синдром самозванца (сомневаются в своих профессиональных навыках). При этом среди новичков этот показатель достигает 56%. Почти половина опрошенных (44%) призналась, что это чувство мешает их карьере, а 66% из-за неуверенности боятся развиваться и искать новую работу.</w:t>
      </w:r>
    </w:p>
    <w:p w14:paraId="53CE6A06" w14:textId="37F45F86" w:rsidR="3E6BD751" w:rsidRDefault="3E6BD751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397CE3CC" w14:textId="6BA0ECA4" w:rsidR="3E6BD751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Тревожность</w:t>
      </w:r>
    </w:p>
    <w:p w14:paraId="6131C20F" w14:textId="375DA60C" w:rsidR="3E6BD751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По данным исследования молодежи Тюмени (2025 г.), в возрастных группах 18–22 лет и 23–27 лет преобладает умеренная тревожность (25% и 20% соответственно). Глобальный отчет Mind Health Report 2025 также подтверждает, что стресс и тревожность растут быстрее всего именно среди людей 18–34 лет, которые в два раза чаще сталкиваются с этими проблемами, чем старшие поколения.</w:t>
      </w:r>
    </w:p>
    <w:p w14:paraId="167338FB" w14:textId="407DF955" w:rsidR="3E6BD751" w:rsidRDefault="3E6BD751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7E363D78" w14:textId="2A2C78AF" w:rsidR="3E6BD751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 xml:space="preserve">Думсккроллинг </w:t>
      </w:r>
    </w:p>
    <w:p w14:paraId="462A831F" w14:textId="1B941803" w:rsidR="3E6BD751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По данным Mediascope (2025), люди в возрасте 18–24 лет тратят на соцсети 5 часов 12 минут в день. Более 58% россиян 18–35 лет признают, что зависимы как минимум от одного приложения.</w:t>
      </w:r>
    </w:p>
    <w:p w14:paraId="752FE749" w14:textId="443DFA2E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2D393385" w14:textId="35CF6159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Явление охватывает порядка 25% россиян, при этом молодёжь в возрасте 18–26 лет выступает основной группой риска. Данный поведенческий паттерн провоцирует рост тревожности и снижает когнитивную способность к концентрации и критическому мышлению. </w:t>
      </w:r>
    </w:p>
    <w:p w14:paraId="3291E319" w14:textId="15F4649D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В контексте трудоустройства эта привычка напрямую трансформирует модели поиска работы, порождая специфические феномены. Первым из них является карьерный думскроллинг. Согласно данным платформы «Авито Работа», 76% соискателей просматривают ленту вакансий по аналогии с социальными сетями - бесконечно и без принятия конкретных решений. В результате общая активность соискателей возрастает, однако уровень заинтересованности и конверсия в реальные действия снижаются. </w:t>
      </w:r>
    </w:p>
    <w:p w14:paraId="4328F4E4" w14:textId="59B12563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Второй феномен - </w:t>
      </w: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думджоббинг</w:t>
      </w:r>
      <w:r w:rsidRPr="190B0BD3">
        <w:rPr>
          <w:rFonts w:eastAsia="Times New Roman" w:cs="Times New Roman"/>
          <w:color w:val="000000" w:themeColor="text1"/>
          <w:szCs w:val="28"/>
        </w:rPr>
        <w:t xml:space="preserve">, представляющий собой бессистемную массовую рассылку резюме без анализа требований и соответствия квалификации. По данным LinkedIn, 37% соискателей увеличили количество откликов, но при этом столкнулись с сокращением числа ответов от работодателей. В совокупности данные паттерны поведения создают </w:t>
      </w:r>
      <w:r w:rsidRPr="190B0BD3">
        <w:rPr>
          <w:rFonts w:eastAsia="Times New Roman" w:cs="Times New Roman"/>
          <w:color w:val="000000" w:themeColor="text1"/>
          <w:szCs w:val="28"/>
        </w:rPr>
        <w:lastRenderedPageBreak/>
        <w:t>ситуацию, при которой работодатели фиксируют высокий объем входящего трафика, но сталкиваются с критическим снижением качества откликов и низкой конверсией в осознанные действия со стороны молодых кандидатов.</w:t>
      </w:r>
    </w:p>
    <w:p w14:paraId="4ACA9EAE" w14:textId="68DD0196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3C5ED709" w14:textId="57EBCF09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Клиповое мышление</w:t>
      </w:r>
      <w:r w:rsidRPr="190B0BD3">
        <w:rPr>
          <w:rFonts w:eastAsia="Times New Roman" w:cs="Times New Roman"/>
          <w:color w:val="000000" w:themeColor="text1"/>
          <w:szCs w:val="28"/>
        </w:rPr>
        <w:t xml:space="preserve"> </w:t>
      </w:r>
    </w:p>
    <w:p w14:paraId="1B40D197" w14:textId="3B9896F4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Эта когнитивная особенность поколения Z количественно подтверждена в российских академических исследованиях. Согласно данным социологического опроса среди студентов Тверского государственного медицинского университета в возрасте 18–24 лет, множественными признаками клипового мышления обладают 41,2% студентов, 36,7% имеют минимум один выраженный признак, и лишь 22,1% не проявляют подобных характеристик. Клиповое мышление проявляется в поверхностном восприятии материала и предпочтении яркой визуальной информации, что снижает эффективность традиционных текстовых форматов коммуникации. Дополнительно фиксируется снижение способности к длительной концентрации: только 6,4% современных студентов высшей школы не отвлекаются во время занятий на информационные сети, а 40,7% испытывают перегруженность информацией.</w:t>
      </w:r>
    </w:p>
    <w:p w14:paraId="0E0265CD" w14:textId="47326664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09D245B4" w14:textId="459D122E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По данным исследования СПбГУ, средняя продолжительность концентрации внимания у поколения Z составляет 8-12 секунд, при этом 72% молодых специалистов теряют интерес при работе с текстовыми инструкциями, а короткие видео повышают вовлечённость на 40%. Рекрутеры подтверждают: клиповое мышление стало главной проблемой современных соискателей при поиске работы — длинные описания вакансий и многоэтапные формы отклика не соответствуют их модели потребления информации.</w:t>
      </w:r>
    </w:p>
    <w:p w14:paraId="05E2BCB9" w14:textId="77777777" w:rsidR="005E50B3" w:rsidRDefault="005E50B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438CE245" w14:textId="77777777" w:rsidR="005E50B3" w:rsidRDefault="005E50B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0BE072BA" w14:textId="77777777" w:rsidR="005E50B3" w:rsidRDefault="005E50B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6178F642" w14:textId="09BBD5C1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>Страхи и барьеры при поиске работы</w:t>
      </w:r>
    </w:p>
    <w:p w14:paraId="154C1829" w14:textId="77777777" w:rsidR="005E50B3" w:rsidRDefault="005E50B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</w:p>
    <w:p w14:paraId="0FAC25BB" w14:textId="1447ED82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Психологическое состояние молодёжи в процессе поиска работы характеризуется выраженным негативным фоном. По данным совместного опроса hh.ru, россияне при поиске работы испытывают повышенную тревожность (28%), апатию (19%), раздражительность (18%) и постоянное плохое настроение (18%). Каждый четвертый опрошенный сообщил, что поиск работы эмоционально тяжёл для него, а 21% опасаются, что так и не смогут никуда устроиться. Пятая часть респондентов связывает сомнения в собственной компетентности с неудачами на собеседованиях. Синдром самозванца усиливает эти барьеры.</w:t>
      </w:r>
    </w:p>
    <w:p w14:paraId="309E3FDD" w14:textId="3EB161FF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Отдельно фиксируется страх ошибки: по данным Кадрового центра Мурманской области, 71% выпускников признались, что он блокирует их инициативу на этапе адаптации, причём 63% студентов считают отсутствие опыта непреодолимым барьером.</w:t>
      </w:r>
    </w:p>
    <w:p w14:paraId="0567DFAB" w14:textId="5732654C" w:rsidR="005E50B3" w:rsidRDefault="005E50B3" w:rsidP="005E50B3">
      <w:pPr>
        <w:spacing w:before="0" w:after="0"/>
        <w:ind w:firstLine="708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Так же к</w:t>
      </w:r>
      <w:r w:rsidRPr="190B0BD3">
        <w:rPr>
          <w:rFonts w:eastAsia="Times New Roman" w:cs="Times New Roman"/>
          <w:color w:val="000000" w:themeColor="text1"/>
          <w:szCs w:val="28"/>
        </w:rPr>
        <w:t>аждый пятый выпускник (около 20–21%) отмечает отсутствие или малое количество вакансий, которые соответствуют его требованиям.</w:t>
      </w:r>
    </w:p>
    <w:p w14:paraId="7CFC4775" w14:textId="77777777" w:rsidR="005E50B3" w:rsidRDefault="005E50B3" w:rsidP="005E50B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57F14423" w14:textId="2E65EC8A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43CE7CDD" w14:textId="029B1150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Рынок игр</w:t>
      </w:r>
    </w:p>
    <w:p w14:paraId="1B8B080D" w14:textId="75AC5168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Рынок головоломок (Puzzle):</w:t>
      </w:r>
    </w:p>
    <w:p w14:paraId="7650DF14" w14:textId="17D89C03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В 2025 году мобильные игры в жанре головоломок сгенерировали более 10 млрд долларов дохода от внутриигровых покупок (IAP), что на 14% больше, чем годом ранее. Это второй по величине доходов жанр после стратегий.</w:t>
      </w:r>
    </w:p>
    <w:p w14:paraId="4B78A746" w14:textId="14719941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Симуляторы профессий (Job Simulation):</w:t>
      </w:r>
    </w:p>
    <w:p w14:paraId="624FCCC4" w14:textId="2411ACD6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Мировой рынок симуляторов профессий оценивается в 4,57 млрд долларов в 2025 году и, по прогнозам, вырастет до 5,04 млрд долларов в 2026 году (CAGR 10,4%). В сегменте Steam (без учета мобильных платформ) выручка симуляторов профессий составила около 1,36 млрд долларов.</w:t>
      </w:r>
    </w:p>
    <w:p w14:paraId="243047B8" w14:textId="19B74933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67AAFBC8" w14:textId="19D3486F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>Мировой и российский рынок видеоигр</w:t>
      </w:r>
    </w:p>
    <w:p w14:paraId="50390341" w14:textId="2DB3D27A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По данным аналитической компании Newzoo, в 2025 году мировой рынок видеоигр достиг 201,6 млрд долларов, показав рост на 9,1% по сравнению с 2024 годом. Прогноз на 2026 год составляет 213,9 млрд долларов. Большую часть рынка занимают мобильные игры (121,1 млрд долларов), далее следуют консоли (46,9 млрд долларов) и ПК (45,9 млрд долларов). Общая аудитория игроков в мире оценивается в 3,7 млрд человек.</w:t>
      </w:r>
    </w:p>
    <w:p w14:paraId="5D1D38FB" w14:textId="72BB5111" w:rsidR="190B0BD3" w:rsidRDefault="00000000" w:rsidP="190B0BD3">
      <w:pPr>
        <w:spacing w:before="0" w:after="0"/>
        <w:ind w:firstLine="709"/>
        <w:rPr>
          <w:rFonts w:eastAsia="Times New Roman" w:cs="Times New Roman"/>
          <w:color w:val="0070C0"/>
          <w:szCs w:val="28"/>
        </w:rPr>
      </w:pPr>
      <w:hyperlink r:id="rId5">
        <w:r w:rsidR="190B0BD3" w:rsidRPr="190B0BD3">
          <w:rPr>
            <w:rStyle w:val="ac"/>
            <w:rFonts w:eastAsia="Times New Roman" w:cs="Times New Roman"/>
            <w:color w:val="0070C0"/>
          </w:rPr>
          <w:t>https://newzoo.com/articles/global-games-market-2025</w:t>
        </w:r>
      </w:hyperlink>
      <w:r w:rsidR="190B0BD3" w:rsidRPr="190B0BD3">
        <w:rPr>
          <w:rFonts w:eastAsia="Times New Roman" w:cs="Times New Roman"/>
          <w:color w:val="0070C0"/>
          <w:szCs w:val="28"/>
        </w:rPr>
        <w:t xml:space="preserve"> </w:t>
      </w:r>
    </w:p>
    <w:p w14:paraId="6963E3E2" w14:textId="7C38A485" w:rsidR="190B0BD3" w:rsidRDefault="190B0BD3" w:rsidP="190B0BD3">
      <w:pPr>
        <w:spacing w:before="0" w:after="0"/>
        <w:ind w:firstLine="709"/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В России оценки объема рынка различаются в зависимости от методологии, но в целом сходятся на отметке около 200 млрд рублей. В частности, VK Play оценивает рынок в 200 млрд рублей, Агентство стратегических инициатив (АСИ) - в 208 млрд рублей при среднегодовом темпе роста 6%. Компания Astrum Entertainment приводит более широкую оценку в 288 млрд рублей. Для сравнения, в 2023 году объем составлял 176 млрд рублей, а в 2024-м - 187 млрд рублей. </w:t>
      </w:r>
    </w:p>
    <w:p w14:paraId="2BF5A39C" w14:textId="18280BB6" w:rsidR="190B0BD3" w:rsidRDefault="00000000" w:rsidP="190B0BD3">
      <w:pPr>
        <w:spacing w:before="0" w:after="0"/>
        <w:ind w:firstLine="709"/>
        <w:rPr>
          <w:rFonts w:eastAsia="Times New Roman" w:cs="Times New Roman"/>
          <w:color w:val="0070C0"/>
          <w:szCs w:val="28"/>
        </w:rPr>
      </w:pPr>
      <w:hyperlink r:id="rId6" w:anchor="1">
        <w:r w:rsidR="190B0BD3" w:rsidRPr="190B0BD3">
          <w:rPr>
            <w:rStyle w:val="ac"/>
            <w:rFonts w:eastAsia="Times New Roman" w:cs="Times New Roman"/>
            <w:color w:val="0070C0"/>
          </w:rPr>
          <w:t>https://www.comnews.ru/content/243119/2026-01-12/2026-w03/1008/povorotnyy-god-2026-g-rynok-videoigr-zhdet-ii-bum#1</w:t>
        </w:r>
      </w:hyperlink>
      <w:r w:rsidR="190B0BD3" w:rsidRPr="190B0BD3">
        <w:rPr>
          <w:rFonts w:eastAsia="Times New Roman" w:cs="Times New Roman"/>
          <w:color w:val="0070C0"/>
          <w:szCs w:val="28"/>
        </w:rPr>
        <w:t xml:space="preserve"> </w:t>
      </w:r>
    </w:p>
    <w:p w14:paraId="49C31E04" w14:textId="3C4FE83B" w:rsidR="190B0BD3" w:rsidRDefault="00000000" w:rsidP="190B0BD3">
      <w:pPr>
        <w:spacing w:before="0" w:after="0"/>
        <w:ind w:firstLine="709"/>
        <w:rPr>
          <w:rFonts w:eastAsia="Times New Roman" w:cs="Times New Roman"/>
          <w:color w:val="0070C0"/>
          <w:szCs w:val="28"/>
        </w:rPr>
      </w:pPr>
      <w:hyperlink r:id="rId7">
        <w:r w:rsidR="190B0BD3" w:rsidRPr="190B0BD3">
          <w:rPr>
            <w:rStyle w:val="ac"/>
            <w:rFonts w:eastAsia="Times New Roman" w:cs="Times New Roman"/>
            <w:color w:val="0070C0"/>
          </w:rPr>
          <w:t>https://www.osp.ru/articles/2026/0928/13061103</w:t>
        </w:r>
      </w:hyperlink>
      <w:r w:rsidR="190B0BD3" w:rsidRPr="190B0BD3">
        <w:rPr>
          <w:rFonts w:eastAsia="Times New Roman" w:cs="Times New Roman"/>
          <w:color w:val="0070C0"/>
          <w:szCs w:val="28"/>
        </w:rPr>
        <w:t xml:space="preserve"> </w:t>
      </w:r>
    </w:p>
    <w:p w14:paraId="7767B2F3" w14:textId="0EEC4C62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Рост интереса к головоломкам в России: в 2025 году рекламные расходы на продвижение игр этого жанра в RuStore выросли на 25% по сравнению с 2024 годом, что является самым высоким показателем среди всех категорий.</w:t>
      </w:r>
    </w:p>
    <w:p w14:paraId="127DDAE3" w14:textId="759D1824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2F75AF50" w14:textId="161AF9CF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Рынок игр-головоломок</w:t>
      </w:r>
    </w:p>
    <w:p w14:paraId="013249C0" w14:textId="4707749D" w:rsidR="190B0BD3" w:rsidRDefault="190B0BD3" w:rsidP="190B0BD3">
      <w:pPr>
        <w:shd w:val="clear" w:color="auto" w:fill="FFFFFF" w:themeFill="background1"/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По данным Sensor Tower, в 2025 году мобильные игры в жанре головоломок сгенерировали более 10 млрд долларов дохода от внутриигровых покупок (IAP). Это второй по величине доходов жанр после стратегий, а рост к 2024 году составил 14%.</w:t>
      </w:r>
    </w:p>
    <w:p w14:paraId="0C82C1FC" w14:textId="02628C37" w:rsidR="190B0BD3" w:rsidRDefault="190B0BD3" w:rsidP="190B0BD3">
      <w:pPr>
        <w:shd w:val="clear" w:color="auto" w:fill="FFFFFF" w:themeFill="background1"/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Альтернативная оценка от AppMagic показывает выручку жанра на уровне 8,2 млрд долларов (+7,6% к 2024 году). При этом головоломки стали </w:t>
      </w:r>
      <w:r w:rsidRPr="190B0BD3">
        <w:rPr>
          <w:rFonts w:eastAsia="Times New Roman" w:cs="Times New Roman"/>
          <w:color w:val="000000" w:themeColor="text1"/>
          <w:szCs w:val="28"/>
        </w:rPr>
        <w:lastRenderedPageBreak/>
        <w:t>единственной топовой категорией, показавшей рост на фоне общего застоя в casual-сегменте, выручка которого осталась на уровне 21 млрд долларов.</w:t>
      </w:r>
    </w:p>
    <w:p w14:paraId="3FBB4299" w14:textId="4CAE2EC1" w:rsidR="190B0BD3" w:rsidRDefault="190B0BD3" w:rsidP="190B0BD3">
      <w:pPr>
        <w:shd w:val="clear" w:color="auto" w:fill="FFFFFF" w:themeFill="background1"/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Крупнейшим поджанром остается Match-3 с выручкой 4,8 млрд долларов в 2025 году. Самым быстрорастущим стал поджанр Merge, выручка которого выросла на 80% за год. Общее количество скачиваний игр-головоломок в 2025 году превысило 9,7 млрд раз.</w:t>
      </w:r>
    </w:p>
    <w:p w14:paraId="79FF51C8" w14:textId="757E07AE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4C6A3191" w14:textId="178891E7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Симуляторы профессий</w:t>
      </w:r>
    </w:p>
    <w:p w14:paraId="22F86008" w14:textId="582579D2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По данным отчета Job Simulation Global Market Report 2026, в 2025 году мировой рынок симуляторов профессий составил 4,57 млрд долларов. Прогноз на 2026 год - 5,04 млрд долларов при совокупном среднегодовом темпе роста (CAGR) 10,4%.</w:t>
      </w:r>
    </w:p>
    <w:p w14:paraId="18DEFCE6" w14:textId="73553C89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</w:p>
    <w:p w14:paraId="697F84B2" w14:textId="33834F44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Главная проблема:</w:t>
      </w:r>
    </w:p>
    <w:p w14:paraId="74FE0EEE" w14:textId="6A0583F5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Молодые соискатели (18–26 лет) при поиске первой работы сталкиваются с высоким психологическим барьером: страхом ошибиться и неопределенностью. Из-за синдрома самозванца (52% молодых людей до 24 лет сомневаются в своих навыках) и страха неудачи (около 71% выпускников признаются, что страх ошибки блокирует их инициативу) они выбирают только те вакансии, где чувствуют себя абсолютно уверенно.</w:t>
      </w:r>
    </w:p>
    <w:p w14:paraId="6119388F" w14:textId="27203733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67D98AC3" w14:textId="12FD7046" w:rsidR="190B0BD3" w:rsidRDefault="190B0BD3" w:rsidP="190B0BD3">
      <w:pPr>
        <w:spacing w:before="0" w:after="0"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190B0BD3">
        <w:rPr>
          <w:rFonts w:eastAsia="Times New Roman" w:cs="Times New Roman"/>
          <w:b/>
          <w:bCs/>
          <w:color w:val="000000" w:themeColor="text1"/>
          <w:szCs w:val="28"/>
        </w:rPr>
        <w:t>Целевая аудитория:</w:t>
      </w:r>
    </w:p>
    <w:p w14:paraId="1B67F8EB" w14:textId="55C7D400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Молодежь 18-26 лет (студенты и выпускники).</w:t>
      </w:r>
    </w:p>
    <w:p w14:paraId="2F4EF69C" w14:textId="7CF44B0D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Их ценности: высокая зарплата (82,8%), карьерный рост (60,4%) и гибкий график (57%). При этом для более чем 60% молодых людей смысловое наполнение труда важнее материальной выгоды, а 53% рассчитывают на быстрый карьерный рост уже на этапе стажировки.</w:t>
      </w:r>
    </w:p>
    <w:p w14:paraId="056B725E" w14:textId="56210263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 xml:space="preserve">Их барьеры: отсутствие опыта кажется им непреодолимым барьером (63% студентов), а работодатели, в свою очередь, видят проблему в нехватке </w:t>
      </w:r>
      <w:r w:rsidRPr="190B0BD3">
        <w:rPr>
          <w:rFonts w:eastAsia="Times New Roman" w:cs="Times New Roman"/>
          <w:color w:val="000000" w:themeColor="text1"/>
          <w:szCs w:val="28"/>
        </w:rPr>
        <w:lastRenderedPageBreak/>
        <w:t>навыков, что создает разрыв в ожиданиях. Они боятся жесткого контроля (70% увольняются из-за этого) и отсутствия перспектив (62%).</w:t>
      </w:r>
    </w:p>
    <w:p w14:paraId="58BC2785" w14:textId="4D81C022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p w14:paraId="4926C52B" w14:textId="002A0B15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  <w:r w:rsidRPr="190B0BD3">
        <w:rPr>
          <w:rFonts w:eastAsia="Times New Roman" w:cs="Times New Roman"/>
          <w:color w:val="000000" w:themeColor="text1"/>
          <w:szCs w:val="28"/>
        </w:rPr>
        <w:t>Ссылки:</w:t>
      </w:r>
    </w:p>
    <w:p w14:paraId="0A682E18" w14:textId="15B4CF44" w:rsidR="190B0BD3" w:rsidRDefault="00000000" w:rsidP="190B0BD3">
      <w:pPr>
        <w:spacing w:before="0" w:after="0"/>
        <w:ind w:firstLine="709"/>
        <w:rPr>
          <w:rFonts w:eastAsia="Times New Roman" w:cs="Times New Roman"/>
          <w:color w:val="0070C0"/>
        </w:rPr>
      </w:pPr>
      <w:hyperlink r:id="rId8" w:anchor="1">
        <w:r w:rsidR="190B0BD3" w:rsidRPr="190B0BD3">
          <w:rPr>
            <w:rStyle w:val="ac"/>
            <w:rFonts w:eastAsia="Times New Roman" w:cs="Times New Roman"/>
            <w:color w:val="0070C0"/>
          </w:rPr>
          <w:t>https://senatinform.ru/news/tret_rossiyan_somnevaetsya_v_svoikh_professionalnykh_navykakh/#1</w:t>
        </w:r>
      </w:hyperlink>
    </w:p>
    <w:p w14:paraId="4B44ABB3" w14:textId="2A6CFAFC" w:rsidR="190B0BD3" w:rsidRDefault="00000000" w:rsidP="190B0BD3">
      <w:pPr>
        <w:shd w:val="clear" w:color="auto" w:fill="FFFFFF" w:themeFill="background1"/>
        <w:spacing w:before="0" w:after="0"/>
        <w:ind w:firstLine="709"/>
        <w:rPr>
          <w:rFonts w:eastAsia="Times New Roman" w:cs="Times New Roman"/>
          <w:color w:val="0070C0"/>
        </w:rPr>
      </w:pPr>
      <w:hyperlink r:id="rId9">
        <w:r w:rsidR="190B0BD3" w:rsidRPr="190B0BD3">
          <w:rPr>
            <w:rStyle w:val="ac"/>
            <w:rFonts w:eastAsia="Times New Roman" w:cs="Times New Roman"/>
            <w:color w:val="0070C0"/>
          </w:rPr>
          <w:t>https://www.kommersant.ru/doc/7832319</w:t>
        </w:r>
      </w:hyperlink>
    </w:p>
    <w:p w14:paraId="591AB175" w14:textId="1A9B66E0" w:rsidR="190B0BD3" w:rsidRDefault="190B0BD3" w:rsidP="190B0BD3">
      <w:pPr>
        <w:spacing w:before="0" w:after="0"/>
        <w:ind w:firstLine="709"/>
        <w:rPr>
          <w:rFonts w:eastAsia="Times New Roman" w:cs="Times New Roman"/>
          <w:color w:val="000000" w:themeColor="text1"/>
          <w:szCs w:val="28"/>
        </w:rPr>
      </w:pPr>
    </w:p>
    <w:sectPr w:rsidR="190B0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EB33"/>
    <w:multiLevelType w:val="hybridMultilevel"/>
    <w:tmpl w:val="5E30B6A0"/>
    <w:lvl w:ilvl="0" w:tplc="8CAE8142">
      <w:start w:val="1"/>
      <w:numFmt w:val="decimal"/>
      <w:lvlText w:val="%1."/>
      <w:lvlJc w:val="left"/>
      <w:pPr>
        <w:ind w:left="720" w:hanging="360"/>
      </w:pPr>
    </w:lvl>
    <w:lvl w:ilvl="1" w:tplc="2244CC7E">
      <w:start w:val="1"/>
      <w:numFmt w:val="lowerLetter"/>
      <w:lvlText w:val="%2."/>
      <w:lvlJc w:val="left"/>
      <w:pPr>
        <w:ind w:left="1440" w:hanging="360"/>
      </w:pPr>
    </w:lvl>
    <w:lvl w:ilvl="2" w:tplc="A104C4E4">
      <w:start w:val="1"/>
      <w:numFmt w:val="lowerRoman"/>
      <w:lvlText w:val="%3."/>
      <w:lvlJc w:val="right"/>
      <w:pPr>
        <w:ind w:left="2160" w:hanging="180"/>
      </w:pPr>
    </w:lvl>
    <w:lvl w:ilvl="3" w:tplc="D826A0B6">
      <w:start w:val="1"/>
      <w:numFmt w:val="decimal"/>
      <w:lvlText w:val="%4."/>
      <w:lvlJc w:val="left"/>
      <w:pPr>
        <w:ind w:left="2880" w:hanging="360"/>
      </w:pPr>
    </w:lvl>
    <w:lvl w:ilvl="4" w:tplc="146018BC">
      <w:start w:val="1"/>
      <w:numFmt w:val="lowerLetter"/>
      <w:lvlText w:val="%5."/>
      <w:lvlJc w:val="left"/>
      <w:pPr>
        <w:ind w:left="3600" w:hanging="360"/>
      </w:pPr>
    </w:lvl>
    <w:lvl w:ilvl="5" w:tplc="64161E5C">
      <w:start w:val="1"/>
      <w:numFmt w:val="lowerRoman"/>
      <w:lvlText w:val="%6."/>
      <w:lvlJc w:val="right"/>
      <w:pPr>
        <w:ind w:left="4320" w:hanging="180"/>
      </w:pPr>
    </w:lvl>
    <w:lvl w:ilvl="6" w:tplc="1756BA32">
      <w:start w:val="1"/>
      <w:numFmt w:val="decimal"/>
      <w:lvlText w:val="%7."/>
      <w:lvlJc w:val="left"/>
      <w:pPr>
        <w:ind w:left="5040" w:hanging="360"/>
      </w:pPr>
    </w:lvl>
    <w:lvl w:ilvl="7" w:tplc="9A4A9CD8">
      <w:start w:val="1"/>
      <w:numFmt w:val="lowerLetter"/>
      <w:lvlText w:val="%8."/>
      <w:lvlJc w:val="left"/>
      <w:pPr>
        <w:ind w:left="5760" w:hanging="360"/>
      </w:pPr>
    </w:lvl>
    <w:lvl w:ilvl="8" w:tplc="9A7618CA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5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C9"/>
    <w:rsid w:val="00247C05"/>
    <w:rsid w:val="002C43FF"/>
    <w:rsid w:val="003A3FE1"/>
    <w:rsid w:val="004A4488"/>
    <w:rsid w:val="004B28A1"/>
    <w:rsid w:val="004C66C8"/>
    <w:rsid w:val="005E50B3"/>
    <w:rsid w:val="006624D1"/>
    <w:rsid w:val="00842F8B"/>
    <w:rsid w:val="00B31EA6"/>
    <w:rsid w:val="00C45366"/>
    <w:rsid w:val="00FC34C9"/>
    <w:rsid w:val="190B0BD3"/>
    <w:rsid w:val="3E6BD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4B7D8"/>
  <w15:chartTrackingRefBased/>
  <w15:docId w15:val="{1232E5CA-B97E-4B66-A399-D7BA7DA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8A1"/>
    <w:pPr>
      <w:spacing w:before="240" w:after="40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4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4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4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4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4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4C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4C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4C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C34C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C34C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C34C9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C34C9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C34C9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C34C9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C34C9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C34C9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C34C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4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C34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4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C34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4C9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FC34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4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4C9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FC34C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atinform.ru/news/tret_rossiyan_somnevaetsya_v_svoikh_professionalnykh_navykak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sp.ru/articles/2026/0928/130611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mnews.ru/content/243119/2026-01-12/2026-w03/1008/povorotnyy-god-2026-g-rynok-videoigr-zhdet-ii-bu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ewzoo.com/articles/global-games-market-202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ommersant.ru/doc/783231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Nasy</dc:creator>
  <cp:keywords/>
  <dc:description/>
  <cp:lastModifiedBy>Mira Nasy</cp:lastModifiedBy>
  <cp:revision>2</cp:revision>
  <dcterms:created xsi:type="dcterms:W3CDTF">2026-10-23T09:16:00Z</dcterms:created>
  <dcterms:modified xsi:type="dcterms:W3CDTF">2026-10-23T09:16:00Z</dcterms:modified>
</cp:coreProperties>
</file>