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4FE65" w14:textId="77777777" w:rsidR="00CA4063" w:rsidRPr="00AE0282" w:rsidRDefault="00CA4063" w:rsidP="00CA4063">
      <w:pPr>
        <w:pStyle w:val="Title"/>
        <w:tabs>
          <w:tab w:val="left" w:pos="6120"/>
        </w:tabs>
        <w:rPr>
          <w:rFonts w:ascii="Times New Roman" w:hAnsi="Times New Roman" w:cs="Times New Roman"/>
        </w:rPr>
      </w:pPr>
      <w:r w:rsidRPr="00AE0282">
        <w:rPr>
          <w:rFonts w:ascii="Times New Roman" w:hAnsi="Times New Roman" w:cs="Times New Roman"/>
        </w:rPr>
        <w:t>Explanatory Statement</w:t>
      </w:r>
    </w:p>
    <w:p w14:paraId="42503199" w14:textId="77777777" w:rsidR="00CA4063" w:rsidRPr="00AE0282" w:rsidRDefault="00CA4063" w:rsidP="00CA4063">
      <w:pPr>
        <w:pStyle w:val="Title"/>
        <w:tabs>
          <w:tab w:val="left" w:pos="6120"/>
        </w:tabs>
        <w:rPr>
          <w:rFonts w:ascii="Times New Roman" w:hAnsi="Times New Roman" w:cs="Times New Roman"/>
        </w:rPr>
      </w:pPr>
    </w:p>
    <w:p w14:paraId="198B8A4F" w14:textId="77777777" w:rsidR="00CA4063" w:rsidRPr="00AE0282" w:rsidRDefault="00CA4063" w:rsidP="00CA4063">
      <w:pPr>
        <w:widowControl/>
        <w:jc w:val="center"/>
        <w:rPr>
          <w:rFonts w:ascii="Times New Roman" w:hAnsi="Times New Roman" w:cs="Times New Roman"/>
        </w:rPr>
      </w:pPr>
      <w:r w:rsidRPr="00AE0282">
        <w:rPr>
          <w:rFonts w:ascii="Times New Roman" w:hAnsi="Times New Roman" w:cs="Times New Roman"/>
        </w:rPr>
        <w:t>Issued by the Authority of the Minister for Foreign Affairs</w:t>
      </w:r>
    </w:p>
    <w:p w14:paraId="1945B65E" w14:textId="77777777" w:rsidR="00CA4063" w:rsidRPr="00AE0282" w:rsidRDefault="00CA4063" w:rsidP="00CA4063">
      <w:pPr>
        <w:widowControl/>
        <w:jc w:val="center"/>
        <w:rPr>
          <w:rFonts w:ascii="Times New Roman" w:hAnsi="Times New Roman" w:cs="Times New Roman"/>
        </w:rPr>
      </w:pPr>
    </w:p>
    <w:p w14:paraId="2271FA6F" w14:textId="77777777" w:rsidR="00CA4063" w:rsidRPr="00AE0282" w:rsidRDefault="00CA4063" w:rsidP="00CA4063">
      <w:pPr>
        <w:pStyle w:val="Heading1"/>
        <w:ind w:hanging="1133"/>
        <w:rPr>
          <w:rFonts w:ascii="Times New Roman" w:hAnsi="Times New Roman" w:cs="Times New Roman"/>
        </w:rPr>
      </w:pPr>
      <w:r w:rsidRPr="00AE0282">
        <w:rPr>
          <w:rFonts w:ascii="Times New Roman" w:hAnsi="Times New Roman" w:cs="Times New Roman"/>
        </w:rPr>
        <w:t>Autonomous Sanctions Regulations 2011</w:t>
      </w:r>
    </w:p>
    <w:p w14:paraId="09A13657" w14:textId="77777777" w:rsidR="00CA4063" w:rsidRPr="00AE0282" w:rsidRDefault="00CA4063" w:rsidP="00CA4063">
      <w:pPr>
        <w:widowControl/>
        <w:ind w:left="1133" w:hanging="1157"/>
        <w:jc w:val="center"/>
        <w:rPr>
          <w:rFonts w:ascii="Times New Roman" w:hAnsi="Times New Roman" w:cs="Times New Roman"/>
          <w:i/>
        </w:rPr>
      </w:pPr>
    </w:p>
    <w:p w14:paraId="08AE5C0F" w14:textId="0D203EA9" w:rsidR="00CA4063" w:rsidRPr="00AE0282" w:rsidRDefault="00CA4063" w:rsidP="00CA4063">
      <w:pPr>
        <w:jc w:val="center"/>
        <w:rPr>
          <w:rFonts w:ascii="Times New Roman" w:hAnsi="Times New Roman" w:cs="Times New Roman"/>
          <w:i/>
          <w:iCs/>
        </w:rPr>
      </w:pPr>
      <w:r w:rsidRPr="00AE0282">
        <w:rPr>
          <w:rFonts w:ascii="Times New Roman" w:hAnsi="Times New Roman" w:cs="Times New Roman"/>
          <w:i/>
          <w:iCs/>
        </w:rPr>
        <w:t>Autonomous Sanctions (Designated Persons and Entities and Declared Persons</w:t>
      </w:r>
      <w:r w:rsidRPr="00AE0282">
        <w:rPr>
          <w:iCs/>
        </w:rPr>
        <w:t>—</w:t>
      </w:r>
      <w:r w:rsidRPr="00AE0282">
        <w:rPr>
          <w:i/>
        </w:rPr>
        <w:t xml:space="preserve">Russia and </w:t>
      </w:r>
      <w:r w:rsidRPr="00AE0282">
        <w:rPr>
          <w:rFonts w:ascii="Times New Roman" w:hAnsi="Times New Roman" w:cs="Times New Roman"/>
          <w:i/>
          <w:iCs/>
        </w:rPr>
        <w:t>Ukraine) Amendment (No. 14) Instrument 2022</w:t>
      </w:r>
    </w:p>
    <w:p w14:paraId="240E649F" w14:textId="77777777" w:rsidR="00CA4063" w:rsidRPr="00AE0282" w:rsidRDefault="00CA4063" w:rsidP="00CA4063">
      <w:pPr>
        <w:jc w:val="center"/>
      </w:pPr>
    </w:p>
    <w:p w14:paraId="5736F1F1" w14:textId="77777777" w:rsidR="00CA4063" w:rsidRPr="00AE0282" w:rsidRDefault="00CA4063" w:rsidP="00CA4063">
      <w:pPr>
        <w:rPr>
          <w:iCs/>
        </w:rPr>
      </w:pPr>
      <w:r w:rsidRPr="00AE0282">
        <w:rPr>
          <w:iCs/>
        </w:rPr>
        <w:t xml:space="preserve">Autonomous sanctions are measures not involving the use of armed force which a government imposes as a matter of foreign policy in response to situations of international concern, including threats to a country’s sovereignty and territorial integrity. </w:t>
      </w:r>
    </w:p>
    <w:p w14:paraId="71EC7DA5" w14:textId="77777777" w:rsidR="00CA4063" w:rsidRPr="00AE0282" w:rsidRDefault="00CA4063" w:rsidP="00CA4063">
      <w:pPr>
        <w:rPr>
          <w:lang w:eastAsia="en-AU"/>
        </w:rPr>
      </w:pPr>
    </w:p>
    <w:p w14:paraId="2A2887FB" w14:textId="5EF4C4CA" w:rsidR="00CA4063" w:rsidRPr="00AE0282" w:rsidRDefault="00CA4063" w:rsidP="00CA4063">
      <w:pPr>
        <w:rPr>
          <w:lang w:eastAsia="en-AU"/>
        </w:rPr>
      </w:pPr>
      <w:r w:rsidRPr="00AE0282">
        <w:rPr>
          <w:lang w:eastAsia="en-AU"/>
        </w:rPr>
        <w:t xml:space="preserve">The </w:t>
      </w:r>
      <w:r w:rsidRPr="00AE0282">
        <w:rPr>
          <w:i/>
          <w:lang w:eastAsia="en-AU"/>
        </w:rPr>
        <w:t>Autonomous Sanctions Regulations 2011</w:t>
      </w:r>
      <w:r w:rsidRPr="00AE0282">
        <w:rPr>
          <w:lang w:eastAsia="en-AU"/>
        </w:rPr>
        <w:t xml:space="preserve"> (the Regulations) make provision for, among other things, the proscription of persons or entities for autonomous sanctions in relation to Russia and Ukraine.  Regulation 6 of the Regulations enables the Minister for Foreign Affairs (the Minister) to designate a person or entity for targeted financial sanctions, and/or declare a person for a travel ban, if the Minister is satisfied that the person or entity is responsible for, or complicit in, the threat to the sovereignty and territorial integrity of Ukraine (item 9 of the table at regulation 6) (the Ukraine criteria).</w:t>
      </w:r>
    </w:p>
    <w:p w14:paraId="04189A49" w14:textId="77777777" w:rsidR="00CA4063" w:rsidRPr="00AE0282" w:rsidRDefault="00CA4063" w:rsidP="00CA4063">
      <w:pPr>
        <w:rPr>
          <w:lang w:eastAsia="en-AU"/>
        </w:rPr>
      </w:pPr>
    </w:p>
    <w:p w14:paraId="6FF5846B" w14:textId="77777777" w:rsidR="00CA4063" w:rsidRPr="00AE0282" w:rsidRDefault="00CA4063" w:rsidP="00CA4063">
      <w:r w:rsidRPr="00AE0282">
        <w:t>The purpose of a designation is to subject the designated person or entity to targeted financial sanctions. There are two components to targeted financial sanctions under the Regulations:</w:t>
      </w:r>
    </w:p>
    <w:p w14:paraId="38E5EDB7" w14:textId="77777777" w:rsidR="00CA4063" w:rsidRPr="00AE0282" w:rsidRDefault="00CA4063" w:rsidP="00CA4063"/>
    <w:p w14:paraId="67DD4E3C" w14:textId="77777777" w:rsidR="00CA4063" w:rsidRPr="00AE0282" w:rsidRDefault="00CA4063" w:rsidP="00CA4063">
      <w:pPr>
        <w:pStyle w:val="ListParagraph"/>
        <w:numPr>
          <w:ilvl w:val="0"/>
          <w:numId w:val="1"/>
        </w:numPr>
      </w:pPr>
      <w:r w:rsidRPr="00AE0282">
        <w:t>a designated person or entity becomes the object of the prohibition in regulation 14 (which prohibits directly or indirectly making an asset available to, or for the benefit of, a designated person or entity, other than as authorised by a permit granted under regulation 18); and/or</w:t>
      </w:r>
    </w:p>
    <w:p w14:paraId="300F3BF3" w14:textId="77777777" w:rsidR="00CA4063" w:rsidRPr="00AE0282" w:rsidRDefault="00CA4063" w:rsidP="00CA4063">
      <w:pPr>
        <w:pStyle w:val="ListParagraph"/>
        <w:numPr>
          <w:ilvl w:val="0"/>
          <w:numId w:val="1"/>
        </w:numPr>
      </w:pPr>
      <w:r w:rsidRPr="00AE0282">
        <w:t>an asset owned or controlled by a designated person or entity is a ‘controlled asset’, subject to the prohibition in regulation 15 (which requires a person who holds a controlled asset to freeze that asset, by prohibiting that person from either using or dealing with that asset, or allowing it to be used or dealt with, or facilitating the use of or dealing with it, other than as authorised by a permit granted under regulation 18).</w:t>
      </w:r>
    </w:p>
    <w:p w14:paraId="537B9F2F" w14:textId="77777777" w:rsidR="00CA4063" w:rsidRPr="00AE0282" w:rsidRDefault="00CA4063" w:rsidP="00CA4063"/>
    <w:p w14:paraId="4896B9F9" w14:textId="77777777" w:rsidR="00CA4063" w:rsidRPr="00AE0282" w:rsidRDefault="00CA4063" w:rsidP="00CA4063">
      <w:r w:rsidRPr="00AE0282">
        <w:t xml:space="preserve">The purpose of a declaration is to prevent a person from travelling to, </w:t>
      </w:r>
      <w:proofErr w:type="gramStart"/>
      <w:r w:rsidRPr="00AE0282">
        <w:t>entering</w:t>
      </w:r>
      <w:proofErr w:type="gramEnd"/>
      <w:r w:rsidRPr="00AE0282">
        <w:t xml:space="preserve"> or remaining in Australia.</w:t>
      </w:r>
    </w:p>
    <w:p w14:paraId="6D02D409" w14:textId="77777777" w:rsidR="00CA4063" w:rsidRPr="00AE0282" w:rsidRDefault="00CA4063" w:rsidP="00CA4063"/>
    <w:p w14:paraId="208D4AAB" w14:textId="77777777" w:rsidR="00CA4063" w:rsidRPr="00AE0282" w:rsidRDefault="00CA4063" w:rsidP="00CA4063">
      <w:pPr>
        <w:rPr>
          <w:iCs/>
        </w:rPr>
      </w:pPr>
      <w:r w:rsidRPr="00AE0282">
        <w:t xml:space="preserve">Designated and declared persons, and designated entities, in relation to Russia and Ukraine are listed in the </w:t>
      </w:r>
      <w:r w:rsidRPr="00AE0282">
        <w:rPr>
          <w:i/>
        </w:rPr>
        <w:t xml:space="preserve">Autonomous Sanctions (Designated Persons and Entities and Declared Persons – Russia and Ukraine) List 2014 </w:t>
      </w:r>
      <w:r w:rsidRPr="00AE0282">
        <w:t>(the 2014 List)</w:t>
      </w:r>
      <w:r w:rsidRPr="00AE0282">
        <w:rPr>
          <w:i/>
        </w:rPr>
        <w:t xml:space="preserve">. </w:t>
      </w:r>
    </w:p>
    <w:p w14:paraId="67763D16" w14:textId="77777777" w:rsidR="00CA4063" w:rsidRPr="00AE0282" w:rsidRDefault="00CA4063" w:rsidP="00CA4063"/>
    <w:p w14:paraId="3E127352" w14:textId="514B0FD5" w:rsidR="00CA4063" w:rsidRPr="00AE0282" w:rsidRDefault="00CA4063" w:rsidP="00CA4063">
      <w:pPr>
        <w:rPr>
          <w:lang w:eastAsia="en-AU"/>
        </w:rPr>
      </w:pPr>
      <w:r w:rsidRPr="00AE0282">
        <w:rPr>
          <w:lang w:eastAsia="en-AU"/>
        </w:rPr>
        <w:t xml:space="preserve">In accordance with regulation 6, the </w:t>
      </w:r>
      <w:r w:rsidRPr="00AE0282">
        <w:rPr>
          <w:i/>
          <w:iCs/>
          <w:lang w:eastAsia="en-AU"/>
        </w:rPr>
        <w:t>Autonomous Sanctions (Designated Persons and Entities and Declared Persons—Russia and Ukraine) Amendment (No. 14) Instrument 2022</w:t>
      </w:r>
      <w:r w:rsidRPr="00AE0282">
        <w:rPr>
          <w:lang w:eastAsia="en-AU"/>
        </w:rPr>
        <w:t xml:space="preserve"> (the Instrument) lists </w:t>
      </w:r>
      <w:r w:rsidR="002F4E3B" w:rsidRPr="00AE0282">
        <w:rPr>
          <w:lang w:eastAsia="en-AU"/>
        </w:rPr>
        <w:t>34</w:t>
      </w:r>
      <w:r w:rsidRPr="00AE0282">
        <w:rPr>
          <w:lang w:eastAsia="en-AU"/>
        </w:rPr>
        <w:t xml:space="preserve"> persons for targeted financial sanctions and travel bans under the Ukraine criteria.</w:t>
      </w:r>
      <w:r w:rsidR="00AA714C" w:rsidRPr="00AE0282">
        <w:rPr>
          <w:lang w:eastAsia="en-AU"/>
        </w:rPr>
        <w:t xml:space="preserve"> </w:t>
      </w:r>
      <w:r w:rsidR="003446F8" w:rsidRPr="00AE0282">
        <w:rPr>
          <w:lang w:eastAsia="en-AU"/>
        </w:rPr>
        <w:t xml:space="preserve">These people </w:t>
      </w:r>
      <w:r w:rsidR="00F45B48" w:rsidRPr="00AE0282">
        <w:rPr>
          <w:lang w:eastAsia="en-AU"/>
        </w:rPr>
        <w:t>are acting in</w:t>
      </w:r>
      <w:r w:rsidR="00E05A43" w:rsidRPr="00AE0282">
        <w:t xml:space="preserve"> </w:t>
      </w:r>
      <w:r w:rsidR="00F45B48" w:rsidRPr="00AE0282">
        <w:t>‘</w:t>
      </w:r>
      <w:r w:rsidR="00E05A43" w:rsidRPr="00AE0282">
        <w:t>ministerial</w:t>
      </w:r>
      <w:r w:rsidR="00F45B48" w:rsidRPr="00AE0282">
        <w:t>’</w:t>
      </w:r>
      <w:r w:rsidR="00E05A43" w:rsidRPr="00AE0282">
        <w:t xml:space="preserve"> or leadership roles</w:t>
      </w:r>
      <w:r w:rsidR="00F45B48" w:rsidRPr="00AE0282">
        <w:t xml:space="preserve"> in the so-called </w:t>
      </w:r>
      <w:r w:rsidR="00BB59C2" w:rsidRPr="00AE0282">
        <w:t>‘</w:t>
      </w:r>
      <w:r w:rsidR="00BB59C2" w:rsidRPr="00AE0282">
        <w:rPr>
          <w:rFonts w:cstheme="minorHAnsi"/>
        </w:rPr>
        <w:t xml:space="preserve">People’s Republic of Donetsk’ and the so-called ‘People’s Republic of Luhansk’— </w:t>
      </w:r>
      <w:r w:rsidR="007353AD" w:rsidRPr="00AE0282">
        <w:rPr>
          <w:rFonts w:cstheme="minorHAnsi"/>
        </w:rPr>
        <w:t>areas which are Ukrainian territory</w:t>
      </w:r>
      <w:r w:rsidR="00C5320C" w:rsidRPr="00AE0282">
        <w:rPr>
          <w:rFonts w:cstheme="minorHAnsi"/>
        </w:rPr>
        <w:t>.</w:t>
      </w:r>
      <w:r w:rsidR="00266694" w:rsidRPr="00AE0282">
        <w:rPr>
          <w:rFonts w:cstheme="minorHAnsi"/>
        </w:rPr>
        <w:t xml:space="preserve"> A</w:t>
      </w:r>
      <w:r w:rsidR="00887C68" w:rsidRPr="00AE0282">
        <w:rPr>
          <w:rFonts w:cstheme="minorHAnsi"/>
        </w:rPr>
        <w:t xml:space="preserve">sserting governmental authority </w:t>
      </w:r>
      <w:r w:rsidR="00887C68" w:rsidRPr="00AE0282">
        <w:rPr>
          <w:rFonts w:cstheme="minorHAnsi"/>
        </w:rPr>
        <w:lastRenderedPageBreak/>
        <w:t xml:space="preserve">over </w:t>
      </w:r>
      <w:r w:rsidR="00E14CD2" w:rsidRPr="00AE0282">
        <w:t>areas of Ukraine without the authorisation of the Ukrainian Government</w:t>
      </w:r>
      <w:r w:rsidR="00266694" w:rsidRPr="00AE0282">
        <w:t xml:space="preserve"> </w:t>
      </w:r>
      <w:r w:rsidR="00E14CD2" w:rsidRPr="00AE0282">
        <w:t>is a clear violation of Ukraine’s sovereignty and territorial integrity.</w:t>
      </w:r>
      <w:r w:rsidR="007E4281" w:rsidRPr="00AE0282">
        <w:rPr>
          <w:lang w:eastAsia="en-AU"/>
        </w:rPr>
        <w:t xml:space="preserve">  </w:t>
      </w:r>
      <w:r w:rsidRPr="00AE0282">
        <w:rPr>
          <w:lang w:eastAsia="en-AU"/>
        </w:rPr>
        <w:t xml:space="preserve">The Minister made these listings being satisfied that by </w:t>
      </w:r>
      <w:r w:rsidR="009267AE" w:rsidRPr="00AE0282">
        <w:rPr>
          <w:lang w:eastAsia="en-AU"/>
        </w:rPr>
        <w:t>virtue of their positions</w:t>
      </w:r>
      <w:r w:rsidR="008974E3" w:rsidRPr="00AE0282">
        <w:rPr>
          <w:lang w:eastAsia="en-AU"/>
        </w:rPr>
        <w:t xml:space="preserve"> with</w:t>
      </w:r>
      <w:r w:rsidR="00207A98" w:rsidRPr="00AE0282">
        <w:rPr>
          <w:lang w:eastAsia="en-AU"/>
        </w:rPr>
        <w:t>in</w:t>
      </w:r>
      <w:r w:rsidR="008974E3" w:rsidRPr="00AE0282">
        <w:rPr>
          <w:lang w:eastAsia="en-AU"/>
        </w:rPr>
        <w:t xml:space="preserve"> the so-called ‘Republics’</w:t>
      </w:r>
      <w:r w:rsidR="009267AE" w:rsidRPr="00AE0282">
        <w:rPr>
          <w:lang w:eastAsia="en-AU"/>
        </w:rPr>
        <w:t xml:space="preserve"> </w:t>
      </w:r>
      <w:r w:rsidRPr="00AE0282">
        <w:rPr>
          <w:lang w:eastAsia="en-AU"/>
        </w:rPr>
        <w:t>the</w:t>
      </w:r>
      <w:r w:rsidR="009267AE" w:rsidRPr="00AE0282">
        <w:rPr>
          <w:lang w:eastAsia="en-AU"/>
        </w:rPr>
        <w:t xml:space="preserve"> </w:t>
      </w:r>
      <w:r w:rsidR="0036220B" w:rsidRPr="00AE0282">
        <w:rPr>
          <w:lang w:eastAsia="en-AU"/>
        </w:rPr>
        <w:t>34</w:t>
      </w:r>
      <w:r w:rsidRPr="00AE0282">
        <w:rPr>
          <w:lang w:eastAsia="en-AU"/>
        </w:rPr>
        <w:t xml:space="preserve"> persons are responsible for, or complicit in, </w:t>
      </w:r>
      <w:r w:rsidRPr="00AE0282">
        <w:rPr>
          <w:shd w:val="clear" w:color="auto" w:fill="FFFFFF"/>
        </w:rPr>
        <w:t>the threat to the sovereignty and territorial integrity of Ukraine.  </w:t>
      </w:r>
    </w:p>
    <w:p w14:paraId="15DAC083" w14:textId="77777777" w:rsidR="00CA4063" w:rsidRPr="00AE0282" w:rsidRDefault="00CA4063" w:rsidP="00CA4063">
      <w:pPr>
        <w:rPr>
          <w:lang w:eastAsia="en-AU"/>
        </w:rPr>
      </w:pPr>
    </w:p>
    <w:p w14:paraId="0418124C" w14:textId="77777777" w:rsidR="00CA4063" w:rsidRPr="00AE0282" w:rsidRDefault="00CA4063" w:rsidP="00CA4063">
      <w:pPr>
        <w:widowControl/>
        <w:shd w:val="clear" w:color="auto" w:fill="FFFFFF"/>
        <w:rPr>
          <w:rFonts w:ascii="Times New Roman" w:hAnsi="Times New Roman" w:cs="Times New Roman"/>
          <w:lang w:eastAsia="en-AU"/>
        </w:rPr>
      </w:pPr>
      <w:r w:rsidRPr="00AE0282">
        <w:rPr>
          <w:rFonts w:ascii="Times New Roman" w:hAnsi="Times New Roman" w:cs="Times New Roman"/>
          <w:lang w:eastAsia="en-AU"/>
        </w:rPr>
        <w:t xml:space="preserve">Under </w:t>
      </w:r>
      <w:proofErr w:type="spellStart"/>
      <w:r w:rsidRPr="00AE0282">
        <w:rPr>
          <w:rFonts w:ascii="Times New Roman" w:hAnsi="Times New Roman" w:cs="Times New Roman"/>
          <w:lang w:eastAsia="en-AU"/>
        </w:rPr>
        <w:t>subregulations</w:t>
      </w:r>
      <w:proofErr w:type="spellEnd"/>
      <w:r w:rsidRPr="00AE0282">
        <w:rPr>
          <w:rFonts w:ascii="Times New Roman" w:hAnsi="Times New Roman" w:cs="Times New Roman"/>
          <w:lang w:eastAsia="en-AU"/>
        </w:rPr>
        <w:t xml:space="preserve"> 9(1) and (2) of the Regulations, designations and declarations that are made under regulation 6 of the Regulations cease to have effect three years after the date on which they took effect, unless the Minister declares they are to continue pursuant to </w:t>
      </w:r>
      <w:proofErr w:type="spellStart"/>
      <w:r w:rsidRPr="00AE0282">
        <w:rPr>
          <w:rFonts w:ascii="Times New Roman" w:hAnsi="Times New Roman" w:cs="Times New Roman"/>
          <w:lang w:eastAsia="en-AU"/>
        </w:rPr>
        <w:t>subregulation</w:t>
      </w:r>
      <w:proofErr w:type="spellEnd"/>
      <w:r w:rsidRPr="00AE0282">
        <w:rPr>
          <w:rFonts w:ascii="Times New Roman" w:hAnsi="Times New Roman" w:cs="Times New Roman"/>
          <w:lang w:eastAsia="en-AU"/>
        </w:rPr>
        <w:t xml:space="preserve"> 9(3).</w:t>
      </w:r>
    </w:p>
    <w:p w14:paraId="2A82A3A2" w14:textId="77777777" w:rsidR="00CA4063" w:rsidRPr="00AE0282" w:rsidRDefault="00CA4063" w:rsidP="00CA4063">
      <w:pPr>
        <w:widowControl/>
        <w:shd w:val="clear" w:color="auto" w:fill="FFFFFF"/>
        <w:rPr>
          <w:rFonts w:ascii="Times New Roman" w:hAnsi="Times New Roman" w:cs="Times New Roman"/>
          <w:lang w:eastAsia="en-AU"/>
        </w:rPr>
      </w:pPr>
      <w:r w:rsidRPr="00AE0282">
        <w:rPr>
          <w:rFonts w:ascii="Times New Roman" w:hAnsi="Times New Roman" w:cs="Times New Roman"/>
          <w:lang w:eastAsia="en-AU"/>
        </w:rPr>
        <w:t> </w:t>
      </w:r>
    </w:p>
    <w:p w14:paraId="70CC5644" w14:textId="77777777" w:rsidR="00CA4063" w:rsidRPr="00AE0282" w:rsidRDefault="00CA4063" w:rsidP="00CA4063">
      <w:r w:rsidRPr="00AE0282">
        <w:t xml:space="preserve">Details of the Instrument, which amends the 2014 List, are set out at </w:t>
      </w:r>
      <w:r w:rsidRPr="00AE0282">
        <w:rPr>
          <w:b/>
        </w:rPr>
        <w:t>Attachment A</w:t>
      </w:r>
      <w:r w:rsidRPr="00AE0282">
        <w:t xml:space="preserve">. </w:t>
      </w:r>
    </w:p>
    <w:p w14:paraId="6A16556D" w14:textId="77777777" w:rsidR="00CA4063" w:rsidRPr="00AE0282" w:rsidRDefault="00CA4063" w:rsidP="00CA4063">
      <w:pPr>
        <w:rPr>
          <w:i/>
        </w:rPr>
      </w:pPr>
    </w:p>
    <w:p w14:paraId="75D837FF" w14:textId="23C964F6" w:rsidR="00CA4063" w:rsidRPr="00AE0282" w:rsidRDefault="00CA4063" w:rsidP="00CA4063">
      <w:pPr>
        <w:widowControl/>
      </w:pPr>
      <w:r w:rsidRPr="00AE0282">
        <w:t>The legal framework for the imposition of autonomous sanctions by Australia, of which the Regulations are part, was the subject of extensive consultation with governmental and non-governmental stakeholders when introduced. The new sanctions being imposed through the making of the Instrument were subject to targeted consultation within government and with relevant international partners.</w:t>
      </w:r>
    </w:p>
    <w:p w14:paraId="003302E5" w14:textId="77777777" w:rsidR="009267AE" w:rsidRPr="00AE0282" w:rsidRDefault="009267AE" w:rsidP="00CA4063">
      <w:pPr>
        <w:widowControl/>
      </w:pPr>
    </w:p>
    <w:p w14:paraId="02E92614" w14:textId="77777777" w:rsidR="00CA4063" w:rsidRPr="00AE0282" w:rsidRDefault="00CA4063" w:rsidP="00CA4063">
      <w:pPr>
        <w:widowControl/>
        <w:rPr>
          <w:shd w:val="clear" w:color="auto" w:fill="FFFFFF"/>
        </w:rPr>
      </w:pPr>
      <w:proofErr w:type="gramStart"/>
      <w:r w:rsidRPr="00AE0282">
        <w:t>In order to</w:t>
      </w:r>
      <w:proofErr w:type="gramEnd"/>
      <w:r w:rsidRPr="00AE0282">
        <w:t xml:space="preserve"> meet the policy objective of prohibiting unauthorised financial transactions involving the persons specified in the Instrument, the Minister is satisfied that wider consultations beyond those already undertaken would not be appropriate or practicable (subsections 17(1) and (2) of the </w:t>
      </w:r>
      <w:r w:rsidRPr="00AE0282">
        <w:rPr>
          <w:i/>
        </w:rPr>
        <w:t>Legislation Act 2003</w:t>
      </w:r>
      <w:r w:rsidRPr="00AE0282">
        <w:t xml:space="preserve">). Consultation is not appropriate in the circumstances </w:t>
      </w:r>
      <w:proofErr w:type="gramStart"/>
      <w:r w:rsidRPr="00AE0282">
        <w:t>in order to</w:t>
      </w:r>
      <w:proofErr w:type="gramEnd"/>
      <w:r w:rsidRPr="00AE0282">
        <w:t xml:space="preserve"> enable Australia to act swiftly in response to threats to </w:t>
      </w:r>
      <w:r w:rsidRPr="00AE0282">
        <w:rPr>
          <w:lang w:eastAsia="en-AU"/>
        </w:rPr>
        <w:t>the sovereignty and territorial integrity of Ukraine</w:t>
      </w:r>
      <w:r w:rsidRPr="00AE0282" w:rsidDel="00E80361">
        <w:t xml:space="preserve"> </w:t>
      </w:r>
      <w:r w:rsidRPr="00AE0282">
        <w:t>and strengthen the impact of sanctions on Russia. Additionally, c</w:t>
      </w:r>
      <w:r w:rsidRPr="00AE0282">
        <w:rPr>
          <w:shd w:val="clear" w:color="auto" w:fill="FFFFFF"/>
        </w:rPr>
        <w:t>onsultation would risk alerting persons to the impending sanctions and enabling capital flight before assets can be frozen.</w:t>
      </w:r>
    </w:p>
    <w:p w14:paraId="45668B3B" w14:textId="77777777" w:rsidR="00CA4063" w:rsidRPr="00AE0282" w:rsidRDefault="00CA4063" w:rsidP="00CA4063">
      <w:pPr>
        <w:widowControl/>
      </w:pPr>
    </w:p>
    <w:p w14:paraId="09F83898" w14:textId="028A2FCD" w:rsidR="00CA4063" w:rsidRPr="00AE0282" w:rsidRDefault="00CA4063" w:rsidP="00CA4063">
      <w:pPr>
        <w:autoSpaceDE w:val="0"/>
        <w:autoSpaceDN w:val="0"/>
        <w:adjustRightInd w:val="0"/>
      </w:pPr>
      <w:r w:rsidRPr="00AE0282">
        <w:t>The Office of Best Practice Regulation (OBPR) has advised that a Regulation Impact Statement is not required for listing instruments (OBPR reference: 26252).</w:t>
      </w:r>
    </w:p>
    <w:p w14:paraId="0A586C85" w14:textId="49ACF68F" w:rsidR="00D50B12" w:rsidRPr="00AE0282" w:rsidRDefault="00D50B12" w:rsidP="00CA4063">
      <w:pPr>
        <w:autoSpaceDE w:val="0"/>
        <w:autoSpaceDN w:val="0"/>
        <w:adjustRightInd w:val="0"/>
      </w:pPr>
    </w:p>
    <w:p w14:paraId="0B7B98E7" w14:textId="77777777" w:rsidR="00D50B12" w:rsidRPr="00AE0282" w:rsidRDefault="00D50B12" w:rsidP="00CA4063">
      <w:pPr>
        <w:autoSpaceDE w:val="0"/>
        <w:autoSpaceDN w:val="0"/>
        <w:adjustRightInd w:val="0"/>
      </w:pPr>
    </w:p>
    <w:p w14:paraId="129FE7C1" w14:textId="77777777" w:rsidR="00CA4063" w:rsidRPr="00AE0282" w:rsidRDefault="00CA4063" w:rsidP="00CA4063">
      <w:pPr>
        <w:widowControl/>
        <w:ind w:left="4320" w:firstLine="720"/>
        <w:jc w:val="right"/>
        <w:rPr>
          <w:b/>
        </w:rPr>
      </w:pPr>
      <w:r w:rsidRPr="00AE0282">
        <w:br w:type="page"/>
      </w:r>
      <w:r w:rsidRPr="00AE0282">
        <w:rPr>
          <w:b/>
        </w:rPr>
        <w:lastRenderedPageBreak/>
        <w:t>Attachment A</w:t>
      </w:r>
    </w:p>
    <w:p w14:paraId="1B8A83FF" w14:textId="77777777" w:rsidR="00CA4063" w:rsidRPr="00AE0282" w:rsidRDefault="00CA4063" w:rsidP="00CA4063">
      <w:pPr>
        <w:widowControl/>
        <w:jc w:val="right"/>
      </w:pPr>
    </w:p>
    <w:p w14:paraId="2BF69FE9" w14:textId="2E00F90C" w:rsidR="00CA4063" w:rsidRPr="00AE0282" w:rsidRDefault="00CA4063" w:rsidP="00CA4063">
      <w:pPr>
        <w:widowControl/>
        <w:jc w:val="center"/>
        <w:rPr>
          <w:rFonts w:ascii="Times New Roman" w:hAnsi="Times New Roman" w:cs="Times New Roman"/>
          <w:i/>
          <w:iCs/>
        </w:rPr>
      </w:pPr>
      <w:r w:rsidRPr="00AE0282">
        <w:rPr>
          <w:rFonts w:ascii="Times New Roman" w:hAnsi="Times New Roman" w:cs="Times New Roman"/>
          <w:i/>
          <w:iCs/>
        </w:rPr>
        <w:t>Autonomous Sanctions (Designated Persons and Entities and Declared Persons</w:t>
      </w:r>
      <w:r w:rsidRPr="00AE0282">
        <w:rPr>
          <w:iCs/>
        </w:rPr>
        <w:t>—</w:t>
      </w:r>
      <w:r w:rsidRPr="00AE0282">
        <w:rPr>
          <w:i/>
        </w:rPr>
        <w:t xml:space="preserve">Russia and </w:t>
      </w:r>
      <w:r w:rsidRPr="00AE0282">
        <w:rPr>
          <w:rFonts w:ascii="Times New Roman" w:hAnsi="Times New Roman" w:cs="Times New Roman"/>
          <w:i/>
          <w:iCs/>
        </w:rPr>
        <w:t>Ukraine) Amendment (No. 1</w:t>
      </w:r>
      <w:r w:rsidR="009267AE" w:rsidRPr="00AE0282">
        <w:rPr>
          <w:rFonts w:ascii="Times New Roman" w:hAnsi="Times New Roman" w:cs="Times New Roman"/>
          <w:i/>
          <w:iCs/>
        </w:rPr>
        <w:t>4</w:t>
      </w:r>
      <w:r w:rsidRPr="00AE0282">
        <w:rPr>
          <w:rFonts w:ascii="Times New Roman" w:hAnsi="Times New Roman" w:cs="Times New Roman"/>
          <w:i/>
          <w:iCs/>
        </w:rPr>
        <w:t>) Instrument</w:t>
      </w:r>
      <w:r w:rsidRPr="00AE0282" w:rsidDel="00ED1E52">
        <w:rPr>
          <w:rFonts w:ascii="Times New Roman" w:hAnsi="Times New Roman" w:cs="Times New Roman"/>
          <w:i/>
          <w:iCs/>
        </w:rPr>
        <w:t xml:space="preserve"> </w:t>
      </w:r>
      <w:r w:rsidRPr="00AE0282">
        <w:rPr>
          <w:rFonts w:ascii="Times New Roman" w:hAnsi="Times New Roman" w:cs="Times New Roman"/>
          <w:i/>
          <w:iCs/>
        </w:rPr>
        <w:t>2022</w:t>
      </w:r>
    </w:p>
    <w:p w14:paraId="2F61720E" w14:textId="77777777" w:rsidR="00CA4063" w:rsidRPr="00AE0282" w:rsidRDefault="00CA4063" w:rsidP="00CA4063">
      <w:pPr>
        <w:widowControl/>
        <w:rPr>
          <w:rFonts w:ascii="Times New Roman" w:hAnsi="Times New Roman" w:cs="Times New Roman"/>
          <w:i/>
          <w:iCs/>
        </w:rPr>
      </w:pPr>
    </w:p>
    <w:p w14:paraId="486156B5" w14:textId="77777777" w:rsidR="00CA4063" w:rsidRPr="00AE0282" w:rsidRDefault="00CA4063" w:rsidP="00CA4063">
      <w:pPr>
        <w:widowControl/>
        <w:rPr>
          <w:rFonts w:ascii="Times New Roman" w:hAnsi="Times New Roman" w:cs="Times New Roman"/>
          <w:iCs/>
          <w:u w:val="single"/>
        </w:rPr>
      </w:pPr>
      <w:r w:rsidRPr="00AE0282">
        <w:rPr>
          <w:rFonts w:ascii="Times New Roman" w:hAnsi="Times New Roman" w:cs="Times New Roman"/>
          <w:iCs/>
          <w:u w:val="single"/>
        </w:rPr>
        <w:t>Section 1</w:t>
      </w:r>
    </w:p>
    <w:p w14:paraId="59482C81" w14:textId="3A0500CE" w:rsidR="00CA4063" w:rsidRPr="00AE0282" w:rsidRDefault="00CA4063" w:rsidP="00CA4063">
      <w:pPr>
        <w:widowControl/>
      </w:pPr>
      <w:r w:rsidRPr="00AE0282">
        <w:t xml:space="preserve">The title of the instrument is the </w:t>
      </w:r>
      <w:r w:rsidRPr="00AE0282">
        <w:rPr>
          <w:rFonts w:ascii="Times New Roman" w:hAnsi="Times New Roman" w:cs="Times New Roman"/>
          <w:i/>
          <w:iCs/>
        </w:rPr>
        <w:t>Autonomous Sanctions (Designated Persons and Entities and Declared Persons</w:t>
      </w:r>
      <w:r w:rsidRPr="00AE0282">
        <w:rPr>
          <w:iCs/>
        </w:rPr>
        <w:t>—</w:t>
      </w:r>
      <w:r w:rsidRPr="00AE0282">
        <w:rPr>
          <w:i/>
        </w:rPr>
        <w:t xml:space="preserve">Russia and </w:t>
      </w:r>
      <w:r w:rsidRPr="00AE0282">
        <w:rPr>
          <w:rFonts w:ascii="Times New Roman" w:hAnsi="Times New Roman" w:cs="Times New Roman"/>
          <w:i/>
          <w:iCs/>
        </w:rPr>
        <w:t>Ukraine) Amendment (No. 1</w:t>
      </w:r>
      <w:r w:rsidR="009267AE" w:rsidRPr="00AE0282">
        <w:rPr>
          <w:rFonts w:ascii="Times New Roman" w:hAnsi="Times New Roman" w:cs="Times New Roman"/>
          <w:i/>
          <w:iCs/>
        </w:rPr>
        <w:t>4</w:t>
      </w:r>
      <w:r w:rsidRPr="00AE0282">
        <w:rPr>
          <w:rFonts w:ascii="Times New Roman" w:hAnsi="Times New Roman" w:cs="Times New Roman"/>
          <w:i/>
          <w:iCs/>
        </w:rPr>
        <w:t>) Instrument</w:t>
      </w:r>
      <w:r w:rsidRPr="00AE0282" w:rsidDel="00ED1E52">
        <w:rPr>
          <w:rFonts w:ascii="Times New Roman" w:hAnsi="Times New Roman" w:cs="Times New Roman"/>
          <w:i/>
          <w:iCs/>
        </w:rPr>
        <w:t xml:space="preserve"> </w:t>
      </w:r>
      <w:r w:rsidRPr="00AE0282">
        <w:rPr>
          <w:rFonts w:ascii="Times New Roman" w:hAnsi="Times New Roman" w:cs="Times New Roman"/>
          <w:i/>
          <w:iCs/>
        </w:rPr>
        <w:t xml:space="preserve">2022 </w:t>
      </w:r>
      <w:r w:rsidRPr="00AE0282">
        <w:rPr>
          <w:rFonts w:ascii="Times New Roman" w:hAnsi="Times New Roman" w:cs="Times New Roman"/>
        </w:rPr>
        <w:t xml:space="preserve">(the Instrument). </w:t>
      </w:r>
    </w:p>
    <w:p w14:paraId="40E02708" w14:textId="77777777" w:rsidR="00CA4063" w:rsidRPr="00AE0282" w:rsidRDefault="00CA4063" w:rsidP="00CA4063">
      <w:pPr>
        <w:widowControl/>
      </w:pPr>
    </w:p>
    <w:p w14:paraId="72463366" w14:textId="77777777" w:rsidR="00CA4063" w:rsidRPr="00AE0282" w:rsidRDefault="00CA4063" w:rsidP="00CA4063">
      <w:pPr>
        <w:widowControl/>
        <w:rPr>
          <w:u w:val="single"/>
        </w:rPr>
      </w:pPr>
      <w:r w:rsidRPr="00AE0282">
        <w:rPr>
          <w:u w:val="single"/>
        </w:rPr>
        <w:t>Section 2</w:t>
      </w:r>
    </w:p>
    <w:p w14:paraId="0A2EB390" w14:textId="77777777" w:rsidR="00CA4063" w:rsidRPr="00AE0282" w:rsidRDefault="00CA4063" w:rsidP="00CA4063">
      <w:pPr>
        <w:widowControl/>
      </w:pPr>
      <w:r w:rsidRPr="00AE0282">
        <w:t>The Instrument commences the day after it is registered.</w:t>
      </w:r>
    </w:p>
    <w:p w14:paraId="3CAB572E" w14:textId="77777777" w:rsidR="00CA4063" w:rsidRPr="00AE0282" w:rsidRDefault="00CA4063" w:rsidP="00CA4063">
      <w:pPr>
        <w:widowControl/>
      </w:pPr>
    </w:p>
    <w:p w14:paraId="143C5E93" w14:textId="77777777" w:rsidR="00CA4063" w:rsidRPr="00AE0282" w:rsidRDefault="00CA4063" w:rsidP="00CA4063">
      <w:pPr>
        <w:widowControl/>
        <w:rPr>
          <w:u w:val="single"/>
        </w:rPr>
      </w:pPr>
      <w:r w:rsidRPr="00AE0282">
        <w:rPr>
          <w:u w:val="single"/>
        </w:rPr>
        <w:t>Section 3</w:t>
      </w:r>
    </w:p>
    <w:p w14:paraId="6B04DF3A" w14:textId="77777777" w:rsidR="00CA4063" w:rsidRPr="00AE0282" w:rsidRDefault="00CA4063" w:rsidP="00CA4063">
      <w:pPr>
        <w:widowControl/>
      </w:pPr>
      <w:r w:rsidRPr="00AE0282">
        <w:t xml:space="preserve">The Instrument is made under paragraphs 6(a) and (b) of the </w:t>
      </w:r>
      <w:r w:rsidRPr="00AE0282">
        <w:rPr>
          <w:i/>
        </w:rPr>
        <w:t>Autonomous Sanctions Regulations 2011</w:t>
      </w:r>
      <w:r w:rsidRPr="00AE0282">
        <w:rPr>
          <w:iCs/>
        </w:rPr>
        <w:t>.</w:t>
      </w:r>
      <w:r w:rsidRPr="00AE0282">
        <w:t xml:space="preserve"> </w:t>
      </w:r>
    </w:p>
    <w:p w14:paraId="34F4AC42" w14:textId="77777777" w:rsidR="00CA4063" w:rsidRPr="00AE0282" w:rsidRDefault="00CA4063" w:rsidP="00CA4063">
      <w:pPr>
        <w:widowControl/>
      </w:pPr>
    </w:p>
    <w:p w14:paraId="298120F1" w14:textId="77777777" w:rsidR="00CA4063" w:rsidRPr="00AE0282" w:rsidRDefault="00CA4063" w:rsidP="00CA4063">
      <w:pPr>
        <w:widowControl/>
        <w:rPr>
          <w:u w:val="single"/>
        </w:rPr>
      </w:pPr>
      <w:r w:rsidRPr="00AE0282">
        <w:rPr>
          <w:u w:val="single"/>
        </w:rPr>
        <w:t>Section 4</w:t>
      </w:r>
    </w:p>
    <w:p w14:paraId="59D98388" w14:textId="77777777" w:rsidR="00CA4063" w:rsidRPr="00AE0282" w:rsidRDefault="00CA4063" w:rsidP="00CA4063">
      <w:pPr>
        <w:widowControl/>
      </w:pPr>
      <w:r w:rsidRPr="00AE0282">
        <w:t>Each instrument that is specified in a Schedule to this Instrument is amended or repealed as set out in the applicable items in the Schedule concerned, and any other item in a Schedule to this Instrument has effect according to its terms.</w:t>
      </w:r>
    </w:p>
    <w:p w14:paraId="0897EB46" w14:textId="77777777" w:rsidR="00CA4063" w:rsidRPr="00AE0282" w:rsidRDefault="00CA4063" w:rsidP="00CA4063">
      <w:pPr>
        <w:widowControl/>
      </w:pPr>
    </w:p>
    <w:p w14:paraId="4729A15D" w14:textId="77777777" w:rsidR="00CA4063" w:rsidRPr="00AE0282" w:rsidRDefault="00CA4063" w:rsidP="00CA4063">
      <w:pPr>
        <w:widowControl/>
        <w:rPr>
          <w:u w:val="single"/>
        </w:rPr>
      </w:pPr>
      <w:r w:rsidRPr="00AE0282">
        <w:rPr>
          <w:u w:val="single"/>
        </w:rPr>
        <w:t>Schedule 1</w:t>
      </w:r>
    </w:p>
    <w:p w14:paraId="23204AD2" w14:textId="77777777" w:rsidR="00CA4063" w:rsidRPr="00AE0282" w:rsidRDefault="00CA4063" w:rsidP="00CA4063">
      <w:pPr>
        <w:widowControl/>
        <w:rPr>
          <w:u w:val="single"/>
        </w:rPr>
      </w:pPr>
    </w:p>
    <w:p w14:paraId="28E3328E" w14:textId="77777777" w:rsidR="00CA4063" w:rsidRPr="00AE0282" w:rsidRDefault="00CA4063" w:rsidP="00CA4063">
      <w:pPr>
        <w:widowControl/>
        <w:rPr>
          <w:i/>
          <w:iCs/>
        </w:rPr>
      </w:pPr>
      <w:r w:rsidRPr="00AE0282">
        <w:rPr>
          <w:i/>
          <w:iCs/>
        </w:rPr>
        <w:t>Autonomous Sanctions (Designated Persons and Entities and Declared Persons – Russia and Ukraine) List 2014</w:t>
      </w:r>
    </w:p>
    <w:p w14:paraId="2F174A61" w14:textId="77777777" w:rsidR="00CA4063" w:rsidRPr="00AE0282" w:rsidRDefault="00CA4063" w:rsidP="00CA4063"/>
    <w:p w14:paraId="2B8D2815" w14:textId="77777777" w:rsidR="00CA4063" w:rsidRPr="00AE0282" w:rsidRDefault="00CA4063" w:rsidP="00CA4063">
      <w:pPr>
        <w:rPr>
          <w:u w:val="single"/>
        </w:rPr>
      </w:pPr>
      <w:r w:rsidRPr="00AE0282">
        <w:rPr>
          <w:u w:val="single"/>
        </w:rPr>
        <w:t>Item 1 – Part 1 of Schedule 1 (at the end of the table)</w:t>
      </w:r>
    </w:p>
    <w:p w14:paraId="614773FC" w14:textId="77777777" w:rsidR="00CA4063" w:rsidRPr="00AE0282" w:rsidRDefault="00CA4063" w:rsidP="00CA4063">
      <w:pPr>
        <w:rPr>
          <w:u w:val="single"/>
        </w:rPr>
      </w:pPr>
    </w:p>
    <w:p w14:paraId="0D3979E5" w14:textId="77777777" w:rsidR="00CA4063" w:rsidRPr="00AE0282" w:rsidRDefault="00CA4063" w:rsidP="00CA4063">
      <w:r w:rsidRPr="00AE0282">
        <w:t xml:space="preserve">The persons listed in Part 1 of Schedule 1 are designated by the Minister for the purposes of paragraph 6(a) of the Regulations </w:t>
      </w:r>
      <w:r w:rsidRPr="00AE0282">
        <w:rPr>
          <w:shd w:val="clear" w:color="auto" w:fill="FFFFFF"/>
        </w:rPr>
        <w:t>and declared by the Minister for the purposes of paragraph 6(b) of the Regulations.</w:t>
      </w:r>
      <w:r w:rsidRPr="00AE0282">
        <w:t xml:space="preserve"> </w:t>
      </w:r>
    </w:p>
    <w:p w14:paraId="7105F684" w14:textId="77777777" w:rsidR="00CA4063" w:rsidRPr="00AE0282" w:rsidRDefault="00CA4063" w:rsidP="00CA4063"/>
    <w:p w14:paraId="0A9F3BE1" w14:textId="10D05DA8" w:rsidR="00207A98" w:rsidRPr="00AE0282" w:rsidRDefault="002A681C" w:rsidP="00207A98">
      <w:pPr>
        <w:rPr>
          <w:lang w:eastAsia="en-AU"/>
        </w:rPr>
      </w:pPr>
      <w:r w:rsidRPr="00AE0282">
        <w:rPr>
          <w:lang w:eastAsia="en-AU"/>
        </w:rPr>
        <w:t>These people are acting in</w:t>
      </w:r>
      <w:r w:rsidRPr="00AE0282">
        <w:t xml:space="preserve"> ‘ministerial’ or leadership roles in the so-called ‘</w:t>
      </w:r>
      <w:r w:rsidRPr="00AE0282">
        <w:rPr>
          <w:rFonts w:cstheme="minorHAnsi"/>
        </w:rPr>
        <w:t>People’s Republic of Donetsk’ and the so-called ‘People’s Republic of Luhansk’</w:t>
      </w:r>
      <w:r w:rsidR="007353AD" w:rsidRPr="00AE0282">
        <w:rPr>
          <w:rFonts w:cstheme="minorHAnsi"/>
        </w:rPr>
        <w:t>— areas which are Ukrainian territory</w:t>
      </w:r>
      <w:r w:rsidRPr="00AE0282">
        <w:rPr>
          <w:rFonts w:cstheme="minorHAnsi"/>
        </w:rPr>
        <w:t xml:space="preserve">. Asserting governmental authority over </w:t>
      </w:r>
      <w:r w:rsidRPr="00AE0282">
        <w:t>areas of Ukraine without the authorisation of the Ukrainian Government is a clear violation of Ukraine’s sovereignty and territorial integrity.</w:t>
      </w:r>
      <w:r w:rsidRPr="00AE0282">
        <w:rPr>
          <w:lang w:eastAsia="en-AU"/>
        </w:rPr>
        <w:t xml:space="preserve">  </w:t>
      </w:r>
      <w:r w:rsidR="00207A98" w:rsidRPr="00AE0282">
        <w:rPr>
          <w:lang w:eastAsia="en-AU"/>
        </w:rPr>
        <w:t xml:space="preserve">The Minister made these listings being satisfied that by virtue of their positions within the so-called ‘Republics’ the 34 persons are responsible for, or complicit in, </w:t>
      </w:r>
      <w:r w:rsidR="00207A98" w:rsidRPr="00AE0282">
        <w:rPr>
          <w:shd w:val="clear" w:color="auto" w:fill="FFFFFF"/>
        </w:rPr>
        <w:t>the threat to the sovereignty and territorial integrity of Ukraine.  </w:t>
      </w:r>
    </w:p>
    <w:p w14:paraId="76BA2E45" w14:textId="77777777" w:rsidR="009267AE" w:rsidRPr="00AE0282" w:rsidRDefault="009267AE" w:rsidP="00CA4063">
      <w:pPr>
        <w:rPr>
          <w:shd w:val="clear" w:color="auto" w:fill="FFFFFF"/>
        </w:rPr>
      </w:pPr>
    </w:p>
    <w:p w14:paraId="042E8BB6" w14:textId="77777777" w:rsidR="00CA4063" w:rsidRPr="00AE0282" w:rsidRDefault="00CA4063" w:rsidP="00CA4063">
      <w:pPr>
        <w:pStyle w:val="Title"/>
        <w:keepNext/>
        <w:tabs>
          <w:tab w:val="left" w:pos="6120"/>
        </w:tabs>
        <w:rPr>
          <w:rFonts w:ascii="Times New Roman" w:hAnsi="Times New Roman" w:cs="Times New Roman"/>
        </w:rPr>
        <w:sectPr w:rsidR="00CA4063" w:rsidRPr="00AE0282" w:rsidSect="00F31D47">
          <w:footerReference w:type="default" r:id="rId10"/>
          <w:pgSz w:w="11906" w:h="16838"/>
          <w:pgMar w:top="1276" w:right="1800" w:bottom="709" w:left="1800" w:header="708" w:footer="708" w:gutter="0"/>
          <w:pgNumType w:start="1"/>
          <w:cols w:space="708"/>
          <w:docGrid w:linePitch="360"/>
        </w:sectPr>
      </w:pPr>
    </w:p>
    <w:p w14:paraId="08B27F7D" w14:textId="77777777" w:rsidR="00CA4063" w:rsidRPr="00AE0282" w:rsidRDefault="00CA4063" w:rsidP="00CA4063">
      <w:pPr>
        <w:pStyle w:val="Title"/>
        <w:keepNext/>
        <w:tabs>
          <w:tab w:val="left" w:pos="6120"/>
        </w:tabs>
        <w:rPr>
          <w:rFonts w:ascii="Times New Roman" w:hAnsi="Times New Roman" w:cs="Times New Roman"/>
        </w:rPr>
      </w:pPr>
      <w:r w:rsidRPr="00AE0282">
        <w:rPr>
          <w:rFonts w:ascii="Times New Roman" w:hAnsi="Times New Roman" w:cs="Times New Roman"/>
        </w:rPr>
        <w:lastRenderedPageBreak/>
        <w:t>Statement of Compatibility with Human Rights</w:t>
      </w:r>
    </w:p>
    <w:p w14:paraId="42D1A4FE" w14:textId="77777777" w:rsidR="00CA4063" w:rsidRPr="00AE0282" w:rsidRDefault="00CA4063" w:rsidP="00CA4063">
      <w:pPr>
        <w:pStyle w:val="Title"/>
        <w:tabs>
          <w:tab w:val="left" w:pos="6120"/>
        </w:tabs>
        <w:rPr>
          <w:rFonts w:ascii="Times New Roman" w:hAnsi="Times New Roman" w:cs="Times New Roman"/>
        </w:rPr>
      </w:pPr>
    </w:p>
    <w:p w14:paraId="7FB38228" w14:textId="77777777" w:rsidR="00CA4063" w:rsidRPr="00AE0282" w:rsidRDefault="00CA4063" w:rsidP="00CA4063">
      <w:pPr>
        <w:jc w:val="center"/>
        <w:rPr>
          <w:rFonts w:ascii="Times New Roman" w:hAnsi="Times New Roman" w:cs="Times New Roman"/>
          <w:lang w:eastAsia="en-AU"/>
        </w:rPr>
      </w:pPr>
      <w:r w:rsidRPr="00AE0282">
        <w:rPr>
          <w:rFonts w:ascii="Times New Roman" w:hAnsi="Times New Roman" w:cs="Times New Roman"/>
          <w:lang w:eastAsia="en-AU"/>
        </w:rPr>
        <w:t xml:space="preserve">Prepared in accordance with Part 3 of the </w:t>
      </w:r>
      <w:r w:rsidRPr="00AE0282">
        <w:rPr>
          <w:rFonts w:ascii="Times New Roman" w:hAnsi="Times New Roman" w:cs="Times New Roman"/>
          <w:i/>
          <w:lang w:eastAsia="en-AU"/>
        </w:rPr>
        <w:t>Human Rights (Parliamentary Scrutiny) Act 2011</w:t>
      </w:r>
    </w:p>
    <w:p w14:paraId="2495293A" w14:textId="77777777" w:rsidR="00CA4063" w:rsidRPr="00AE0282" w:rsidRDefault="00CA4063" w:rsidP="00CA4063">
      <w:pPr>
        <w:jc w:val="center"/>
        <w:rPr>
          <w:rFonts w:ascii="Times New Roman" w:hAnsi="Times New Roman" w:cs="Times New Roman"/>
          <w:bCs/>
          <w:sz w:val="23"/>
          <w:szCs w:val="23"/>
        </w:rPr>
      </w:pPr>
    </w:p>
    <w:p w14:paraId="095B50BE" w14:textId="6CA8CACC" w:rsidR="00CA4063" w:rsidRPr="00AE0282" w:rsidRDefault="00CA4063" w:rsidP="00CA4063">
      <w:pPr>
        <w:jc w:val="center"/>
        <w:rPr>
          <w:rFonts w:ascii="Times New Roman" w:hAnsi="Times New Roman" w:cs="Times New Roman"/>
          <w:i/>
          <w:iCs/>
        </w:rPr>
      </w:pPr>
      <w:r w:rsidRPr="00AE0282">
        <w:rPr>
          <w:rFonts w:ascii="Times New Roman" w:hAnsi="Times New Roman" w:cs="Times New Roman"/>
          <w:i/>
          <w:iCs/>
        </w:rPr>
        <w:t>Autonomous Sanctions (Designated Persons and Entities and Declared Persons</w:t>
      </w:r>
      <w:r w:rsidRPr="00AE0282">
        <w:rPr>
          <w:iCs/>
        </w:rPr>
        <w:t>—</w:t>
      </w:r>
      <w:r w:rsidRPr="00AE0282">
        <w:rPr>
          <w:i/>
        </w:rPr>
        <w:t xml:space="preserve">Russia and </w:t>
      </w:r>
      <w:r w:rsidRPr="00AE0282">
        <w:rPr>
          <w:rFonts w:ascii="Times New Roman" w:hAnsi="Times New Roman" w:cs="Times New Roman"/>
          <w:i/>
          <w:iCs/>
        </w:rPr>
        <w:t>Ukraine) Amendment (No. 1</w:t>
      </w:r>
      <w:r w:rsidR="009267AE" w:rsidRPr="00AE0282">
        <w:rPr>
          <w:rFonts w:ascii="Times New Roman" w:hAnsi="Times New Roman" w:cs="Times New Roman"/>
          <w:i/>
          <w:iCs/>
        </w:rPr>
        <w:t>4</w:t>
      </w:r>
      <w:r w:rsidRPr="00AE0282">
        <w:rPr>
          <w:rFonts w:ascii="Times New Roman" w:hAnsi="Times New Roman" w:cs="Times New Roman"/>
          <w:i/>
          <w:iCs/>
        </w:rPr>
        <w:t>) Instrument 2022</w:t>
      </w:r>
    </w:p>
    <w:p w14:paraId="0F35451F" w14:textId="77777777" w:rsidR="00CA4063" w:rsidRPr="00AE0282" w:rsidRDefault="00CA4063" w:rsidP="00CA4063">
      <w:pPr>
        <w:rPr>
          <w:rFonts w:ascii="Times New Roman" w:hAnsi="Times New Roman" w:cs="Times New Roman"/>
          <w:lang w:eastAsia="en-AU"/>
        </w:rPr>
      </w:pPr>
    </w:p>
    <w:p w14:paraId="09A95D4E" w14:textId="125334A4" w:rsidR="00CA4063" w:rsidRPr="00AE0282" w:rsidRDefault="00CA4063" w:rsidP="00CA4063">
      <w:pPr>
        <w:rPr>
          <w:rFonts w:ascii="Times New Roman" w:hAnsi="Times New Roman" w:cs="Times New Roman"/>
          <w:i/>
          <w:iCs/>
        </w:rPr>
      </w:pPr>
      <w:r w:rsidRPr="00AE0282">
        <w:rPr>
          <w:rFonts w:ascii="Times New Roman" w:hAnsi="Times New Roman" w:cs="Times New Roman"/>
          <w:bCs/>
          <w:sz w:val="23"/>
          <w:szCs w:val="23"/>
        </w:rPr>
        <w:t xml:space="preserve">The </w:t>
      </w:r>
      <w:r w:rsidRPr="00AE0282">
        <w:rPr>
          <w:rFonts w:ascii="Times New Roman" w:hAnsi="Times New Roman" w:cs="Times New Roman"/>
          <w:i/>
          <w:iCs/>
        </w:rPr>
        <w:t>Autonomous Sanctions (Designated Persons and Entities and Declared Persons</w:t>
      </w:r>
      <w:r w:rsidRPr="00AE0282">
        <w:rPr>
          <w:iCs/>
        </w:rPr>
        <w:t>—</w:t>
      </w:r>
      <w:r w:rsidRPr="00AE0282">
        <w:rPr>
          <w:i/>
        </w:rPr>
        <w:t xml:space="preserve">Russia and </w:t>
      </w:r>
      <w:r w:rsidRPr="00AE0282">
        <w:rPr>
          <w:rFonts w:ascii="Times New Roman" w:hAnsi="Times New Roman" w:cs="Times New Roman"/>
          <w:i/>
          <w:iCs/>
        </w:rPr>
        <w:t>Ukraine) Amendment (No. 1</w:t>
      </w:r>
      <w:r w:rsidR="009267AE" w:rsidRPr="00AE0282">
        <w:rPr>
          <w:rFonts w:ascii="Times New Roman" w:hAnsi="Times New Roman" w:cs="Times New Roman"/>
          <w:i/>
          <w:iCs/>
        </w:rPr>
        <w:t>4</w:t>
      </w:r>
      <w:r w:rsidRPr="00AE0282">
        <w:rPr>
          <w:rFonts w:ascii="Times New Roman" w:hAnsi="Times New Roman" w:cs="Times New Roman"/>
          <w:i/>
          <w:iCs/>
        </w:rPr>
        <w:t>) Instrument 2022</w:t>
      </w:r>
      <w:r w:rsidRPr="00AE0282">
        <w:rPr>
          <w:rFonts w:ascii="Times New Roman" w:hAnsi="Times New Roman" w:cs="Times New Roman"/>
          <w:bCs/>
          <w:iCs/>
          <w:sz w:val="23"/>
          <w:szCs w:val="23"/>
        </w:rPr>
        <w:t xml:space="preserve"> (the Instrument)</w:t>
      </w:r>
      <w:r w:rsidRPr="00AE0282">
        <w:rPr>
          <w:rFonts w:ascii="Times New Roman" w:hAnsi="Times New Roman" w:cs="Times New Roman"/>
          <w:bCs/>
          <w:i/>
          <w:iCs/>
          <w:sz w:val="23"/>
          <w:szCs w:val="23"/>
        </w:rPr>
        <w:t xml:space="preserve"> </w:t>
      </w:r>
      <w:r w:rsidRPr="00AE0282">
        <w:rPr>
          <w:rFonts w:ascii="Times New Roman" w:hAnsi="Times New Roman" w:cs="Times New Roman"/>
          <w:bCs/>
        </w:rPr>
        <w:t xml:space="preserve">is compatible with the human rights and freedoms recognised or declared in the international instruments listed in section 3 of the </w:t>
      </w:r>
      <w:r w:rsidRPr="00AE0282">
        <w:rPr>
          <w:rFonts w:ascii="Times New Roman" w:hAnsi="Times New Roman" w:cs="Times New Roman"/>
          <w:bCs/>
          <w:i/>
        </w:rPr>
        <w:t>Human Rights (Parliamentary Scrutiny) Act 2011.</w:t>
      </w:r>
      <w:r w:rsidRPr="00AE0282">
        <w:rPr>
          <w:rFonts w:ascii="Times New Roman" w:hAnsi="Times New Roman" w:cs="Times New Roman"/>
          <w:bCs/>
        </w:rPr>
        <w:t xml:space="preserve"> </w:t>
      </w:r>
    </w:p>
    <w:p w14:paraId="416D1ECD" w14:textId="77777777" w:rsidR="00CA4063" w:rsidRPr="00AE0282" w:rsidRDefault="00CA4063" w:rsidP="00CA4063">
      <w:pPr>
        <w:rPr>
          <w:rFonts w:ascii="Times New Roman" w:hAnsi="Times New Roman" w:cs="Times New Roman"/>
          <w:bCs/>
        </w:rPr>
      </w:pPr>
    </w:p>
    <w:p w14:paraId="1243716C" w14:textId="77777777" w:rsidR="00CA4063" w:rsidRPr="00AE0282" w:rsidRDefault="00CA4063" w:rsidP="00CA4063">
      <w:pPr>
        <w:rPr>
          <w:rFonts w:ascii="Times New Roman" w:hAnsi="Times New Roman" w:cs="Times New Roman"/>
          <w:lang w:val="en-GB"/>
        </w:rPr>
      </w:pPr>
      <w:r w:rsidRPr="00AE0282">
        <w:rPr>
          <w:rFonts w:ascii="Times New Roman" w:hAnsi="Times New Roman" w:cs="Times New Roman"/>
        </w:rPr>
        <w:t>Australia’s autonomous sanctions regimes impose highly targeted measures in response to situations of international concern</w:t>
      </w:r>
      <w:r w:rsidRPr="00AE0282">
        <w:rPr>
          <w:rFonts w:ascii="Times New Roman" w:hAnsi="Times New Roman" w:cs="Times New Roman"/>
          <w:bCs/>
        </w:rPr>
        <w:t xml:space="preserve">, including (but not limited to) where there are, or have been, threats to the sovereignty and territorial integrity of a State. Given the serious nature of the threats to the sovereignty and territorial integrity of Ukraine, the Government considers that targeted financial sanctions and travel bans are the most effective and least rights-restrictive way to achieve its </w:t>
      </w:r>
      <w:r w:rsidRPr="00AE0282">
        <w:rPr>
          <w:rFonts w:ascii="Times New Roman" w:hAnsi="Times New Roman" w:cs="Times New Roman"/>
          <w:lang w:val="en-GB"/>
        </w:rPr>
        <w:t xml:space="preserve">legitimate foreign policy objective of signalling Australia’s concerns about the situation in Ukraine. These sanctions allow a targeted response to Australia’s concerns relating to Russia’s unprovoked and unacceptable attack on Ukraine, by </w:t>
      </w:r>
      <w:r w:rsidRPr="00AE0282">
        <w:t xml:space="preserve">imposing a cost on Russia and </w:t>
      </w:r>
      <w:r w:rsidRPr="00AE0282">
        <w:rPr>
          <w:rFonts w:ascii="Times New Roman" w:hAnsi="Times New Roman" w:cs="Times New Roman"/>
          <w:lang w:val="en-GB"/>
        </w:rPr>
        <w:t>seeking to influence the Russian state to de-escalate the situation.</w:t>
      </w:r>
    </w:p>
    <w:p w14:paraId="4062F2A2" w14:textId="77777777" w:rsidR="00CA4063" w:rsidRPr="00AE0282" w:rsidRDefault="00CA4063" w:rsidP="00CA4063">
      <w:pPr>
        <w:rPr>
          <w:rFonts w:ascii="Times New Roman" w:hAnsi="Times New Roman" w:cs="Times New Roman"/>
          <w:bCs/>
        </w:rPr>
      </w:pPr>
    </w:p>
    <w:p w14:paraId="2F0305BF" w14:textId="77777777" w:rsidR="00CA4063" w:rsidRPr="00AE0282" w:rsidRDefault="00CA4063" w:rsidP="00CA4063">
      <w:pPr>
        <w:rPr>
          <w:rFonts w:ascii="Times New Roman" w:hAnsi="Times New Roman" w:cs="Times New Roman"/>
          <w:lang w:val="en-GB"/>
        </w:rPr>
      </w:pPr>
      <w:r w:rsidRPr="00AE0282">
        <w:rPr>
          <w:rFonts w:ascii="Times New Roman" w:hAnsi="Times New Roman" w:cs="Times New Roman"/>
        </w:rPr>
        <w:t xml:space="preserve">The autonomous sanctions designations and declarations made by this Instrument pursue legitimate objectives and have appropriate safeguards in place to ensure that any limitation on human rights engaged by the imposition of sanctions is a reasonable, </w:t>
      </w:r>
      <w:proofErr w:type="gramStart"/>
      <w:r w:rsidRPr="00AE0282">
        <w:rPr>
          <w:rFonts w:ascii="Times New Roman" w:hAnsi="Times New Roman" w:cs="Times New Roman"/>
        </w:rPr>
        <w:t>necessary</w:t>
      </w:r>
      <w:proofErr w:type="gramEnd"/>
      <w:r w:rsidRPr="00AE0282">
        <w:rPr>
          <w:rFonts w:ascii="Times New Roman" w:hAnsi="Times New Roman" w:cs="Times New Roman"/>
        </w:rPr>
        <w:t xml:space="preserve"> and proportionate response to the situation of international concern, and do not affect particularly vulnerable groups. </w:t>
      </w:r>
      <w:r w:rsidRPr="00AE0282">
        <w:rPr>
          <w:rFonts w:ascii="Times New Roman" w:hAnsi="Times New Roman" w:cs="Times New Roman"/>
          <w:lang w:val="en-GB"/>
        </w:rPr>
        <w:t>The Government keeps its sanctions regimes under regular review, including in relation to whether more effective, less rights</w:t>
      </w:r>
      <w:r w:rsidRPr="00AE0282">
        <w:rPr>
          <w:rFonts w:ascii="Times New Roman" w:hAnsi="Times New Roman" w:cs="Times New Roman"/>
          <w:lang w:val="en-GB"/>
        </w:rPr>
        <w:noBreakHyphen/>
        <w:t>restrictive means are available to achieve similar foreign policy objectives.</w:t>
      </w:r>
    </w:p>
    <w:p w14:paraId="22004283" w14:textId="77777777" w:rsidR="00CA4063" w:rsidRPr="00AE0282" w:rsidRDefault="00CA4063" w:rsidP="00CA4063">
      <w:pPr>
        <w:rPr>
          <w:rFonts w:ascii="Times New Roman" w:hAnsi="Times New Roman" w:cs="Times New Roman"/>
          <w:lang w:val="en-GB"/>
        </w:rPr>
      </w:pPr>
    </w:p>
    <w:p w14:paraId="76F72D1D" w14:textId="419BB7F0" w:rsidR="00CA4063" w:rsidRPr="00AE0282" w:rsidRDefault="00CA4063" w:rsidP="009267AE">
      <w:pPr>
        <w:widowControl/>
        <w:rPr>
          <w:lang w:eastAsia="en-AU"/>
        </w:rPr>
      </w:pPr>
      <w:r w:rsidRPr="00AE0282">
        <w:rPr>
          <w:lang w:eastAsia="en-AU"/>
        </w:rPr>
        <w:t xml:space="preserve">The </w:t>
      </w:r>
      <w:r w:rsidRPr="00AE0282">
        <w:rPr>
          <w:i/>
          <w:lang w:eastAsia="en-AU"/>
        </w:rPr>
        <w:t>Autonomous Sanctions Regulations 2011</w:t>
      </w:r>
      <w:r w:rsidRPr="00AE0282">
        <w:rPr>
          <w:lang w:eastAsia="en-AU"/>
        </w:rPr>
        <w:t xml:space="preserve"> (the Regulations) make provision for, among other things, the proscription of persons or entities for autonomous sanctions. The Instrument, made under regulation 6 of the Regulations, designates persons and entities for targeted financial sanctions and declares those persons for the purposes of travel bans. The Minister made the designations and declarations being satisfied that the persons or entities</w:t>
      </w:r>
      <w:r w:rsidR="009267AE" w:rsidRPr="00AE0282">
        <w:rPr>
          <w:lang w:eastAsia="en-AU"/>
        </w:rPr>
        <w:t xml:space="preserve"> </w:t>
      </w:r>
      <w:r w:rsidRPr="00AE0282">
        <w:rPr>
          <w:lang w:eastAsia="en-AU"/>
        </w:rPr>
        <w:t>are responsible for or complicit in the threat to the sovereignty and territorial integrity of Ukraine (item 9 of the table at regulation 6) (the Ukraine criteria)</w:t>
      </w:r>
      <w:r w:rsidR="009267AE" w:rsidRPr="00AE0282">
        <w:rPr>
          <w:lang w:eastAsia="en-AU"/>
        </w:rPr>
        <w:t>.</w:t>
      </w:r>
      <w:r w:rsidRPr="00AE0282">
        <w:rPr>
          <w:rFonts w:ascii="Times New Roman" w:hAnsi="Times New Roman" w:cs="Times New Roman"/>
          <w:lang w:eastAsia="en-AU"/>
        </w:rPr>
        <w:br/>
      </w:r>
    </w:p>
    <w:p w14:paraId="038AB869"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rPr>
        <w:t xml:space="preserve">The human rights compatibility of the Instrument is addressed by reference to each of the human rights engaged below. </w:t>
      </w:r>
    </w:p>
    <w:p w14:paraId="7BD145D2" w14:textId="77777777" w:rsidR="00CA4063" w:rsidRPr="00AE0282" w:rsidRDefault="00CA4063" w:rsidP="00CA4063">
      <w:pPr>
        <w:widowControl/>
        <w:rPr>
          <w:rFonts w:ascii="Times New Roman" w:hAnsi="Times New Roman" w:cs="Times New Roman"/>
        </w:rPr>
      </w:pPr>
    </w:p>
    <w:p w14:paraId="2670738A" w14:textId="27899153" w:rsidR="00CA4063" w:rsidRPr="00AE0282" w:rsidRDefault="00F5765E" w:rsidP="00F5765E">
      <w:pPr>
        <w:widowControl/>
        <w:spacing w:after="160" w:line="259" w:lineRule="auto"/>
        <w:rPr>
          <w:rFonts w:ascii="Times New Roman" w:hAnsi="Times New Roman" w:cs="Times New Roman"/>
          <w:b/>
        </w:rPr>
      </w:pPr>
      <w:r w:rsidRPr="00AE0282">
        <w:rPr>
          <w:rFonts w:ascii="Times New Roman" w:hAnsi="Times New Roman" w:cs="Times New Roman"/>
          <w:b/>
        </w:rPr>
        <w:br w:type="page"/>
      </w:r>
      <w:r w:rsidR="00CA4063" w:rsidRPr="00AE0282">
        <w:rPr>
          <w:rFonts w:ascii="Times New Roman" w:hAnsi="Times New Roman" w:cs="Times New Roman"/>
          <w:b/>
        </w:rPr>
        <w:lastRenderedPageBreak/>
        <w:t>Right to privacy</w:t>
      </w:r>
    </w:p>
    <w:p w14:paraId="430D3E7D" w14:textId="77777777" w:rsidR="00CA4063" w:rsidRPr="00AE0282" w:rsidRDefault="00CA4063" w:rsidP="00CA4063">
      <w:pPr>
        <w:keepNext/>
        <w:widowControl/>
        <w:rPr>
          <w:rFonts w:ascii="Times New Roman" w:hAnsi="Times New Roman" w:cs="Times New Roman"/>
        </w:rPr>
      </w:pPr>
    </w:p>
    <w:p w14:paraId="6E231494"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u w:val="single"/>
        </w:rPr>
        <w:t>Right</w:t>
      </w:r>
    </w:p>
    <w:p w14:paraId="52D9636E" w14:textId="77777777" w:rsidR="00CA4063" w:rsidRPr="00AE0282" w:rsidRDefault="00CA4063" w:rsidP="00CA4063">
      <w:pPr>
        <w:widowControl/>
        <w:rPr>
          <w:rFonts w:ascii="Times New Roman" w:hAnsi="Times New Roman" w:cs="Times New Roman"/>
        </w:rPr>
      </w:pPr>
    </w:p>
    <w:p w14:paraId="78C861ED"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rPr>
        <w:t xml:space="preserve">Article 17 of the International Covenant on Civil and Political Rights (the ICCPR) prohibits unlawful or arbitrary interferences with a person's privacy, family, </w:t>
      </w:r>
      <w:proofErr w:type="gramStart"/>
      <w:r w:rsidRPr="00AE0282">
        <w:rPr>
          <w:rFonts w:ascii="Times New Roman" w:hAnsi="Times New Roman" w:cs="Times New Roman"/>
        </w:rPr>
        <w:t>home</w:t>
      </w:r>
      <w:proofErr w:type="gramEnd"/>
      <w:r w:rsidRPr="00AE0282">
        <w:rPr>
          <w:rFonts w:ascii="Times New Roman" w:hAnsi="Times New Roman" w:cs="Times New Roman"/>
        </w:rPr>
        <w:t xml:space="preserve"> and correspondence.</w:t>
      </w:r>
    </w:p>
    <w:p w14:paraId="3A61C1AD" w14:textId="77777777" w:rsidR="00CA4063" w:rsidRPr="00AE0282" w:rsidRDefault="00CA4063" w:rsidP="00CA4063">
      <w:pPr>
        <w:widowControl/>
        <w:rPr>
          <w:rFonts w:ascii="Times New Roman" w:hAnsi="Times New Roman" w:cs="Times New Roman"/>
        </w:rPr>
      </w:pPr>
    </w:p>
    <w:p w14:paraId="534FD7FF"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rPr>
        <w:t>The use of the term ‘arbitrary’ in the ICCPR means that any interferences with privacy must be in accordance with the provisions, aims and objectives of the ICCPR and should be reasonable in the individual circumstances. Arbitrariness connotes elements of injustice, unpredictability, unreasonableness, capriciousness and ‘</w:t>
      </w:r>
      <w:proofErr w:type="spellStart"/>
      <w:r w:rsidRPr="00AE0282">
        <w:rPr>
          <w:rFonts w:ascii="Times New Roman" w:hAnsi="Times New Roman" w:cs="Times New Roman"/>
        </w:rPr>
        <w:t>unproportionality</w:t>
      </w:r>
      <w:proofErr w:type="spellEnd"/>
      <w:r w:rsidRPr="00AE0282">
        <w:rPr>
          <w:rFonts w:ascii="Times New Roman" w:hAnsi="Times New Roman" w:cs="Times New Roman"/>
        </w:rPr>
        <w:t>’.</w:t>
      </w:r>
      <w:r w:rsidRPr="00AE0282">
        <w:rPr>
          <w:rStyle w:val="FootnoteReference"/>
          <w:rFonts w:ascii="Times New Roman" w:hAnsi="Times New Roman" w:cs="Times New Roman"/>
        </w:rPr>
        <w:footnoteReference w:id="1"/>
      </w:r>
    </w:p>
    <w:p w14:paraId="391E3CC9" w14:textId="77777777" w:rsidR="00CA4063" w:rsidRPr="00AE0282" w:rsidRDefault="00CA4063" w:rsidP="00CA4063">
      <w:pPr>
        <w:widowControl/>
        <w:rPr>
          <w:rFonts w:ascii="Times New Roman" w:hAnsi="Times New Roman" w:cs="Times New Roman"/>
          <w:u w:val="single"/>
        </w:rPr>
      </w:pPr>
    </w:p>
    <w:p w14:paraId="580EBB1E"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u w:val="single"/>
        </w:rPr>
        <w:t>Permissible limitations</w:t>
      </w:r>
    </w:p>
    <w:p w14:paraId="482D4E68" w14:textId="77777777" w:rsidR="00CA4063" w:rsidRPr="00AE0282" w:rsidRDefault="00CA4063" w:rsidP="00CA4063">
      <w:pPr>
        <w:widowControl/>
        <w:rPr>
          <w:rFonts w:ascii="Times New Roman" w:hAnsi="Times New Roman" w:cs="Times New Roman"/>
        </w:rPr>
      </w:pPr>
    </w:p>
    <w:p w14:paraId="0D25C3D3" w14:textId="77777777" w:rsidR="00CA4063" w:rsidRPr="00AE0282" w:rsidRDefault="00CA4063" w:rsidP="00CA4063">
      <w:pPr>
        <w:rPr>
          <w:rFonts w:ascii="Times New Roman" w:hAnsi="Times New Roman" w:cs="Times New Roman"/>
          <w:bCs/>
        </w:rPr>
      </w:pPr>
      <w:r w:rsidRPr="00AE0282">
        <w:rPr>
          <w:rFonts w:ascii="Times New Roman" w:hAnsi="Times New Roman" w:cs="Times New Roman"/>
          <w:bCs/>
        </w:rPr>
        <w:t xml:space="preserve">The Instrument is not an unlawful interference with an individual’s right to privacy. Section 10 of the </w:t>
      </w:r>
      <w:r w:rsidRPr="00AE0282">
        <w:rPr>
          <w:rFonts w:ascii="Times New Roman" w:hAnsi="Times New Roman" w:cs="Times New Roman"/>
          <w:bCs/>
          <w:i/>
        </w:rPr>
        <w:t>Autonomous Sanctions Act 2011</w:t>
      </w:r>
      <w:r w:rsidRPr="00AE0282">
        <w:rPr>
          <w:rFonts w:ascii="Times New Roman" w:hAnsi="Times New Roman" w:cs="Times New Roman"/>
          <w:bCs/>
        </w:rPr>
        <w:t xml:space="preserve"> (the Act) permits regulations relating to, among other things: ‘proscription of persons or entities (for specified purposes or more generally)’; and ‘restriction or prevention of uses </w:t>
      </w:r>
      <w:proofErr w:type="gramStart"/>
      <w:r w:rsidRPr="00AE0282">
        <w:rPr>
          <w:rFonts w:ascii="Times New Roman" w:hAnsi="Times New Roman" w:cs="Times New Roman"/>
          <w:bCs/>
        </w:rPr>
        <w:t>of,</w:t>
      </w:r>
      <w:proofErr w:type="gramEnd"/>
      <w:r w:rsidRPr="00AE0282">
        <w:rPr>
          <w:rFonts w:ascii="Times New Roman" w:hAnsi="Times New Roman" w:cs="Times New Roman"/>
          <w:bCs/>
        </w:rPr>
        <w:t xml:space="preserve"> dealings with, and making available of, assets’. The designations and declarations contained in the Instrument were made pursuant to regulation 6 of the </w:t>
      </w:r>
      <w:r w:rsidRPr="00AE0282">
        <w:rPr>
          <w:rFonts w:ascii="Times New Roman" w:hAnsi="Times New Roman" w:cs="Times New Roman"/>
          <w:bCs/>
          <w:i/>
        </w:rPr>
        <w:t>Autonomous Sanctions Regulations 2011</w:t>
      </w:r>
      <w:r w:rsidRPr="00AE0282">
        <w:rPr>
          <w:rFonts w:ascii="Times New Roman" w:hAnsi="Times New Roman" w:cs="Times New Roman"/>
          <w:bCs/>
        </w:rPr>
        <w:t xml:space="preserve"> (the Regulations), which provides that the Minister may, by legislative instrument, designate and/or declare a person for targeted financial sanctions and/or travel bans. </w:t>
      </w:r>
    </w:p>
    <w:p w14:paraId="7CD63989" w14:textId="77777777" w:rsidR="00CA4063" w:rsidRPr="00AE0282" w:rsidRDefault="00CA4063" w:rsidP="00CA4063">
      <w:pPr>
        <w:rPr>
          <w:rFonts w:ascii="Times New Roman" w:hAnsi="Times New Roman" w:cs="Times New Roman"/>
          <w:bCs/>
        </w:rPr>
      </w:pPr>
    </w:p>
    <w:p w14:paraId="416A2C57" w14:textId="77777777" w:rsidR="00CA4063" w:rsidRPr="00AE0282" w:rsidRDefault="00CA4063" w:rsidP="00CA4063">
      <w:pPr>
        <w:rPr>
          <w:rFonts w:ascii="Times New Roman" w:hAnsi="Times New Roman" w:cs="Times New Roman"/>
          <w:bCs/>
        </w:rPr>
      </w:pPr>
      <w:r w:rsidRPr="00AE0282">
        <w:rPr>
          <w:rFonts w:ascii="Times New Roman" w:hAnsi="Times New Roman" w:cs="Times New Roman"/>
          <w:bCs/>
        </w:rPr>
        <w:t xml:space="preserve">The measures contained in the Instrument are not an arbitrary interference with an individual’s right to privacy. An interference with privacy will not be arbitrary where it is reasonable, </w:t>
      </w:r>
      <w:proofErr w:type="gramStart"/>
      <w:r w:rsidRPr="00AE0282">
        <w:rPr>
          <w:rFonts w:ascii="Times New Roman" w:hAnsi="Times New Roman" w:cs="Times New Roman"/>
          <w:bCs/>
        </w:rPr>
        <w:t>necessary</w:t>
      </w:r>
      <w:proofErr w:type="gramEnd"/>
      <w:r w:rsidRPr="00AE0282">
        <w:rPr>
          <w:rFonts w:ascii="Times New Roman" w:hAnsi="Times New Roman" w:cs="Times New Roman"/>
          <w:bCs/>
        </w:rPr>
        <w:t xml:space="preserve"> and proportionate in the individual circumstances. </w:t>
      </w:r>
    </w:p>
    <w:p w14:paraId="2133CAEB" w14:textId="77777777" w:rsidR="00CA4063" w:rsidRPr="00AE0282" w:rsidRDefault="00CA4063" w:rsidP="00CA4063">
      <w:pPr>
        <w:rPr>
          <w:rFonts w:ascii="Times New Roman" w:hAnsi="Times New Roman" w:cs="Times New Roman"/>
          <w:bCs/>
        </w:rPr>
      </w:pPr>
    </w:p>
    <w:p w14:paraId="5AFC4D85" w14:textId="77777777" w:rsidR="00CA4063" w:rsidRPr="00AE0282" w:rsidRDefault="00CA4063" w:rsidP="00CA4063">
      <w:pPr>
        <w:rPr>
          <w:rFonts w:ascii="Times New Roman" w:hAnsi="Times New Roman" w:cs="Times New Roman"/>
          <w:bCs/>
        </w:rPr>
      </w:pPr>
      <w:r w:rsidRPr="00AE0282">
        <w:rPr>
          <w:rFonts w:ascii="Times New Roman" w:hAnsi="Times New Roman" w:cs="Times New Roman"/>
          <w:bCs/>
        </w:rPr>
        <w:t>In designating an individual under the Regulations for targeted financial sanctions and/or travel bans, the Minister uses predictable, publicly available criteria. These criteria are designed to capture only those persons the Minister is satisfied are involved in situations of international concern, as set out in regulation 6 of the Regulations.</w:t>
      </w:r>
    </w:p>
    <w:p w14:paraId="1C36D158" w14:textId="77777777" w:rsidR="00CA4063" w:rsidRPr="00AE0282" w:rsidRDefault="00CA4063" w:rsidP="00CA4063">
      <w:pPr>
        <w:rPr>
          <w:rFonts w:ascii="Times New Roman" w:hAnsi="Times New Roman" w:cs="Times New Roman"/>
          <w:bCs/>
        </w:rPr>
      </w:pPr>
    </w:p>
    <w:p w14:paraId="7E09D144" w14:textId="77777777" w:rsidR="00CA4063" w:rsidRPr="00AE0282" w:rsidRDefault="00CA4063" w:rsidP="00CA4063">
      <w:pPr>
        <w:rPr>
          <w:rFonts w:ascii="Times New Roman" w:hAnsi="Times New Roman" w:cs="Times New Roman"/>
          <w:bCs/>
        </w:rPr>
      </w:pPr>
      <w:r w:rsidRPr="00AE0282">
        <w:rPr>
          <w:rFonts w:ascii="Times New Roman" w:hAnsi="Times New Roman" w:cs="Times New Roman"/>
          <w:bCs/>
        </w:rPr>
        <w:t xml:space="preserve">Accordingly, targeted financial sanctions and travel bans imposed by the Minister through the designation of specific individuals under the Regulations are reasonable, </w:t>
      </w:r>
      <w:proofErr w:type="gramStart"/>
      <w:r w:rsidRPr="00AE0282">
        <w:rPr>
          <w:rFonts w:ascii="Times New Roman" w:hAnsi="Times New Roman" w:cs="Times New Roman"/>
          <w:bCs/>
        </w:rPr>
        <w:t>necessary</w:t>
      </w:r>
      <w:proofErr w:type="gramEnd"/>
      <w:r w:rsidRPr="00AE0282">
        <w:rPr>
          <w:rFonts w:ascii="Times New Roman" w:hAnsi="Times New Roman" w:cs="Times New Roman"/>
          <w:bCs/>
        </w:rPr>
        <w:t xml:space="preserve"> and proportionate to the individual circumstances the sanctions are seeking to address. Any interference with the right to privacy created by the operation of the Instrument is not arbitrary or unlawful and is consistent with Australia’s obligations under Article 17 of the ICCPR.</w:t>
      </w:r>
    </w:p>
    <w:p w14:paraId="6EA14334" w14:textId="77777777" w:rsidR="00F5765E" w:rsidRPr="00AE0282" w:rsidRDefault="00CA4063" w:rsidP="00CA4063">
      <w:pPr>
        <w:widowControl/>
        <w:rPr>
          <w:rFonts w:ascii="Times New Roman" w:hAnsi="Times New Roman" w:cs="Times New Roman"/>
          <w:b/>
        </w:rPr>
      </w:pPr>
      <w:r w:rsidRPr="00AE0282">
        <w:rPr>
          <w:rFonts w:ascii="Times New Roman" w:hAnsi="Times New Roman" w:cs="Times New Roman"/>
          <w:b/>
        </w:rPr>
        <w:br/>
      </w:r>
    </w:p>
    <w:p w14:paraId="6D56A12C" w14:textId="77777777" w:rsidR="00F5765E" w:rsidRPr="00AE0282" w:rsidRDefault="00F5765E" w:rsidP="00CA4063">
      <w:pPr>
        <w:widowControl/>
        <w:rPr>
          <w:rFonts w:ascii="Times New Roman" w:hAnsi="Times New Roman" w:cs="Times New Roman"/>
          <w:b/>
        </w:rPr>
      </w:pPr>
    </w:p>
    <w:p w14:paraId="46BD82F2" w14:textId="77777777" w:rsidR="00F5765E" w:rsidRPr="00AE0282" w:rsidRDefault="00F5765E" w:rsidP="00CA4063">
      <w:pPr>
        <w:widowControl/>
        <w:rPr>
          <w:rFonts w:ascii="Times New Roman" w:hAnsi="Times New Roman" w:cs="Times New Roman"/>
          <w:b/>
        </w:rPr>
      </w:pPr>
    </w:p>
    <w:p w14:paraId="3833F75D" w14:textId="77777777" w:rsidR="00F5765E" w:rsidRPr="00AE0282" w:rsidRDefault="00F5765E" w:rsidP="00CA4063">
      <w:pPr>
        <w:widowControl/>
        <w:rPr>
          <w:rFonts w:ascii="Times New Roman" w:hAnsi="Times New Roman" w:cs="Times New Roman"/>
          <w:b/>
        </w:rPr>
      </w:pPr>
    </w:p>
    <w:p w14:paraId="33C40C79" w14:textId="77777777" w:rsidR="00F5765E" w:rsidRPr="00AE0282" w:rsidRDefault="00F5765E" w:rsidP="00CA4063">
      <w:pPr>
        <w:widowControl/>
        <w:rPr>
          <w:rFonts w:ascii="Times New Roman" w:hAnsi="Times New Roman" w:cs="Times New Roman"/>
          <w:b/>
        </w:rPr>
      </w:pPr>
    </w:p>
    <w:p w14:paraId="67E41C72" w14:textId="031F4538" w:rsidR="00CA4063" w:rsidRPr="00AE0282" w:rsidRDefault="00CA4063" w:rsidP="00CA4063">
      <w:pPr>
        <w:widowControl/>
        <w:rPr>
          <w:rFonts w:ascii="Times New Roman" w:hAnsi="Times New Roman" w:cs="Times New Roman"/>
          <w:b/>
        </w:rPr>
      </w:pPr>
      <w:r w:rsidRPr="00AE0282">
        <w:rPr>
          <w:rFonts w:ascii="Times New Roman" w:hAnsi="Times New Roman" w:cs="Times New Roman"/>
          <w:b/>
        </w:rPr>
        <w:lastRenderedPageBreak/>
        <w:t xml:space="preserve">Right to respect for the family </w:t>
      </w:r>
    </w:p>
    <w:p w14:paraId="352425D2" w14:textId="77777777" w:rsidR="00CA4063" w:rsidRPr="00AE0282" w:rsidRDefault="00CA4063" w:rsidP="00CA4063">
      <w:pPr>
        <w:widowControl/>
        <w:rPr>
          <w:rFonts w:ascii="Times New Roman" w:hAnsi="Times New Roman" w:cs="Times New Roman"/>
          <w:b/>
        </w:rPr>
      </w:pPr>
    </w:p>
    <w:p w14:paraId="46CBB784" w14:textId="77777777" w:rsidR="00CA4063" w:rsidRPr="00AE0282" w:rsidRDefault="00CA4063" w:rsidP="00CA4063">
      <w:pPr>
        <w:widowControl/>
        <w:rPr>
          <w:rFonts w:ascii="Times New Roman" w:hAnsi="Times New Roman" w:cs="Times New Roman"/>
          <w:u w:val="single"/>
        </w:rPr>
      </w:pPr>
      <w:r w:rsidRPr="00AE0282">
        <w:rPr>
          <w:rFonts w:ascii="Times New Roman" w:hAnsi="Times New Roman" w:cs="Times New Roman"/>
          <w:u w:val="single"/>
        </w:rPr>
        <w:t>Right</w:t>
      </w:r>
    </w:p>
    <w:p w14:paraId="50DD01BB" w14:textId="555B94F3" w:rsidR="00CA4063" w:rsidRPr="00AE0282" w:rsidRDefault="007E1DE8" w:rsidP="007E1DE8">
      <w:pPr>
        <w:widowControl/>
        <w:spacing w:before="240"/>
        <w:rPr>
          <w:rFonts w:ascii="Times New Roman" w:hAnsi="Times New Roman" w:cs="Times New Roman"/>
        </w:rPr>
      </w:pPr>
      <w:r w:rsidRPr="00AE0282">
        <w:rPr>
          <w:rFonts w:ascii="Times New Roman" w:hAnsi="Times New Roman" w:cs="Times New Roman"/>
        </w:rPr>
        <w:t>T</w:t>
      </w:r>
      <w:r w:rsidR="00CA4063" w:rsidRPr="00AE0282">
        <w:rPr>
          <w:rFonts w:ascii="Times New Roman" w:hAnsi="Times New Roman" w:cs="Times New Roman"/>
        </w:rPr>
        <w:t>he right to respect for the family is protected by articles 17 and 23 of the ICCPR. It covers, among other things, the separation of family members under migration laws, and arbitrary or unlawful interferences with the family.</w:t>
      </w:r>
    </w:p>
    <w:p w14:paraId="499843D1" w14:textId="77777777" w:rsidR="00CA4063" w:rsidRPr="00AE0282" w:rsidRDefault="00CA4063" w:rsidP="00CA4063">
      <w:pPr>
        <w:widowControl/>
        <w:rPr>
          <w:rFonts w:ascii="Times New Roman" w:hAnsi="Times New Roman" w:cs="Times New Roman"/>
        </w:rPr>
      </w:pPr>
    </w:p>
    <w:p w14:paraId="716E7D71"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rPr>
        <w:t>Limitations on the right to respect for the family under Articles 17 and 23 of the ICCPR will not violate those articles if the measures in question are lawful and non</w:t>
      </w:r>
      <w:r w:rsidRPr="00AE0282">
        <w:rPr>
          <w:rFonts w:ascii="Times New Roman" w:hAnsi="Times New Roman" w:cs="Times New Roman"/>
        </w:rPr>
        <w:noBreakHyphen/>
        <w:t xml:space="preserve">arbitrary. An interference with respect for the family will be consistent with the ICCPR where it is necessary and proportionate, in accordance with the provisions, aims and objectives of the ICCPR, and is reasonable in the individual circumstances. </w:t>
      </w:r>
    </w:p>
    <w:p w14:paraId="36CF540F" w14:textId="77777777" w:rsidR="00CA4063" w:rsidRPr="00AE0282" w:rsidRDefault="00CA4063" w:rsidP="00CA4063">
      <w:pPr>
        <w:widowControl/>
        <w:rPr>
          <w:rFonts w:ascii="Times New Roman" w:hAnsi="Times New Roman" w:cs="Times New Roman"/>
          <w:color w:val="auto"/>
        </w:rPr>
      </w:pPr>
    </w:p>
    <w:p w14:paraId="4AD88E9A" w14:textId="77777777" w:rsidR="00CA4063" w:rsidRPr="00AE0282" w:rsidRDefault="00CA4063" w:rsidP="00CA4063">
      <w:pPr>
        <w:widowControl/>
        <w:rPr>
          <w:rFonts w:ascii="Times New Roman" w:hAnsi="Times New Roman" w:cs="Times New Roman"/>
          <w:u w:val="single"/>
        </w:rPr>
      </w:pPr>
      <w:r w:rsidRPr="00AE0282">
        <w:rPr>
          <w:rFonts w:ascii="Times New Roman" w:hAnsi="Times New Roman" w:cs="Times New Roman"/>
          <w:u w:val="single"/>
        </w:rPr>
        <w:t>Permissible limitations</w:t>
      </w:r>
    </w:p>
    <w:p w14:paraId="70E38AE6" w14:textId="77777777" w:rsidR="00CA4063" w:rsidRPr="00AE0282" w:rsidRDefault="00CA4063" w:rsidP="00CA4063">
      <w:pPr>
        <w:widowControl/>
        <w:spacing w:before="240"/>
        <w:rPr>
          <w:rFonts w:ascii="Times New Roman" w:hAnsi="Times New Roman" w:cs="Times New Roman"/>
          <w:color w:val="auto"/>
        </w:rPr>
      </w:pPr>
      <w:r w:rsidRPr="00AE0282">
        <w:rPr>
          <w:rFonts w:ascii="Times New Roman" w:hAnsi="Times New Roman" w:cs="Times New Roman"/>
        </w:rPr>
        <w:t>As set out above, the autonomous sanctions regime is authorised by domestic law and</w:t>
      </w:r>
      <w:r w:rsidRPr="00AE0282">
        <w:rPr>
          <w:rFonts w:ascii="Times New Roman" w:hAnsi="Times New Roman" w:cs="Times New Roman"/>
          <w:color w:val="auto"/>
        </w:rPr>
        <w:t xml:space="preserve"> is not unlawful.</w:t>
      </w:r>
    </w:p>
    <w:p w14:paraId="64549B67" w14:textId="77777777" w:rsidR="00CA4063" w:rsidRPr="00AE0282" w:rsidRDefault="00CA4063" w:rsidP="00CA4063">
      <w:pPr>
        <w:widowControl/>
        <w:rPr>
          <w:rFonts w:ascii="Times New Roman" w:hAnsi="Times New Roman" w:cs="Times New Roman"/>
          <w:color w:val="auto"/>
        </w:rPr>
      </w:pPr>
    </w:p>
    <w:p w14:paraId="1CDAB661"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rPr>
        <w:t xml:space="preserve">As the listing criteria in regulation 6 of the Regulations are drafted by reference to specific foreign countries, it is highly unlikely, as a practical matter, that a person declared for a travel ban will hold an Australian visa, usually reside in </w:t>
      </w:r>
      <w:proofErr w:type="gramStart"/>
      <w:r w:rsidRPr="00AE0282">
        <w:rPr>
          <w:rFonts w:ascii="Times New Roman" w:hAnsi="Times New Roman" w:cs="Times New Roman"/>
        </w:rPr>
        <w:t>Australia</w:t>
      </w:r>
      <w:proofErr w:type="gramEnd"/>
      <w:r w:rsidRPr="00AE0282">
        <w:rPr>
          <w:rFonts w:ascii="Times New Roman" w:hAnsi="Times New Roman" w:cs="Times New Roman"/>
        </w:rPr>
        <w:t xml:space="preserve"> and have immediate family also in Australia.</w:t>
      </w:r>
    </w:p>
    <w:p w14:paraId="0D9379AA" w14:textId="77777777" w:rsidR="00CA4063" w:rsidRPr="00AE0282" w:rsidRDefault="00CA4063" w:rsidP="00CA4063">
      <w:pPr>
        <w:widowControl/>
        <w:rPr>
          <w:rFonts w:ascii="Times New Roman" w:hAnsi="Times New Roman" w:cs="Times New Roman"/>
        </w:rPr>
      </w:pPr>
    </w:p>
    <w:p w14:paraId="6DAF1ABD"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rPr>
        <w:t xml:space="preserve">The Department of Foreign Affairs and Trade (DFAT) consults relevant agencies as appropriate in advance of a designation and declaration of a person with known connections to Australia to determine the possible impacts of the designation and declaration on any family members in Australia. </w:t>
      </w:r>
    </w:p>
    <w:p w14:paraId="71A1B666" w14:textId="77777777" w:rsidR="00CA4063" w:rsidRPr="00AE0282" w:rsidRDefault="00CA4063" w:rsidP="00CA4063">
      <w:pPr>
        <w:widowControl/>
        <w:rPr>
          <w:rFonts w:ascii="Times New Roman" w:hAnsi="Times New Roman" w:cs="Times New Roman"/>
        </w:rPr>
      </w:pPr>
    </w:p>
    <w:p w14:paraId="63DF5D11"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rPr>
        <w:t xml:space="preserve">To the extent that the travel bans imposed pursuant to the Instrument engage and limit the right to respect for the family in a particular case, the Regulations provide sufficient flexibility to treat different cases differently. Under the Regulations, the Minister may waive the operation of a travel ban on the grounds that it would be either: (a) in the national interest; or (b) on humanitarian grounds. This provides a mechanism to address circumstances in which issues such as the possible separation of family members in Australia are involved. In addition, this decision may be judicially reviewed. Finally, were such a separation to take place, for the reasons outlined in relation to Article 17 above, such a separation would be reasonable, necessary, </w:t>
      </w:r>
      <w:proofErr w:type="gramStart"/>
      <w:r w:rsidRPr="00AE0282">
        <w:rPr>
          <w:rFonts w:ascii="Times New Roman" w:hAnsi="Times New Roman" w:cs="Times New Roman"/>
        </w:rPr>
        <w:t>proportionate</w:t>
      </w:r>
      <w:proofErr w:type="gramEnd"/>
      <w:r w:rsidRPr="00AE0282">
        <w:rPr>
          <w:rFonts w:ascii="Times New Roman" w:hAnsi="Times New Roman" w:cs="Times New Roman"/>
        </w:rPr>
        <w:t xml:space="preserve"> and justified in achieving the objective of the Instrument.</w:t>
      </w:r>
    </w:p>
    <w:p w14:paraId="0B023251" w14:textId="77777777" w:rsidR="00CA4063" w:rsidRPr="00AE0282" w:rsidRDefault="00CA4063" w:rsidP="00CA4063">
      <w:pPr>
        <w:widowControl/>
        <w:rPr>
          <w:rFonts w:ascii="Times New Roman" w:hAnsi="Times New Roman" w:cs="Times New Roman"/>
          <w:b/>
        </w:rPr>
      </w:pPr>
    </w:p>
    <w:p w14:paraId="017A557C" w14:textId="46B4CF6D" w:rsidR="00CA4063" w:rsidRPr="00AE0282" w:rsidRDefault="00CA4063" w:rsidP="000E0288">
      <w:pPr>
        <w:widowControl/>
        <w:rPr>
          <w:rFonts w:ascii="Times New Roman" w:hAnsi="Times New Roman" w:cs="Times New Roman"/>
        </w:rPr>
      </w:pPr>
      <w:r w:rsidRPr="00AE0282">
        <w:rPr>
          <w:rFonts w:ascii="Times New Roman" w:hAnsi="Times New Roman" w:cs="Times New Roman"/>
        </w:rPr>
        <w:t xml:space="preserve">Accordingly, any interference with the right to respect for the family created by the operation of the Instrument is not unlawful or arbitrary, </w:t>
      </w:r>
      <w:proofErr w:type="gramStart"/>
      <w:r w:rsidRPr="00AE0282">
        <w:rPr>
          <w:rFonts w:ascii="Times New Roman" w:hAnsi="Times New Roman" w:cs="Times New Roman"/>
        </w:rPr>
        <w:t>and,</w:t>
      </w:r>
      <w:proofErr w:type="gramEnd"/>
      <w:r w:rsidRPr="00AE0282">
        <w:rPr>
          <w:rFonts w:ascii="Times New Roman" w:hAnsi="Times New Roman" w:cs="Times New Roman"/>
        </w:rPr>
        <w:t xml:space="preserve"> is consistent with Australia’s obligations under Articles 17 and 23 of the ICCPR.</w:t>
      </w:r>
      <w:r w:rsidR="000E0288" w:rsidRPr="00AE0282">
        <w:rPr>
          <w:rFonts w:ascii="Times New Roman" w:hAnsi="Times New Roman" w:cs="Times New Roman"/>
        </w:rPr>
        <w:br/>
      </w:r>
      <w:r w:rsidR="000E0288" w:rsidRPr="00AE0282">
        <w:rPr>
          <w:rFonts w:ascii="Times New Roman" w:hAnsi="Times New Roman" w:cs="Times New Roman"/>
        </w:rPr>
        <w:br/>
      </w:r>
      <w:r w:rsidRPr="00AE0282">
        <w:rPr>
          <w:rFonts w:ascii="Times New Roman" w:hAnsi="Times New Roman" w:cs="Times New Roman"/>
          <w:b/>
        </w:rPr>
        <w:t>Right to an adequate standard of living</w:t>
      </w:r>
      <w:r w:rsidR="000E0288" w:rsidRPr="00AE0282">
        <w:rPr>
          <w:rFonts w:ascii="Times New Roman" w:hAnsi="Times New Roman" w:cs="Times New Roman"/>
        </w:rPr>
        <w:br/>
      </w:r>
      <w:r w:rsidR="000E0288" w:rsidRPr="00AE0282">
        <w:rPr>
          <w:rFonts w:ascii="Times New Roman" w:hAnsi="Times New Roman" w:cs="Times New Roman"/>
        </w:rPr>
        <w:br/>
      </w:r>
      <w:r w:rsidRPr="00AE0282">
        <w:rPr>
          <w:rFonts w:ascii="Times New Roman" w:hAnsi="Times New Roman" w:cs="Times New Roman"/>
          <w:u w:val="single"/>
        </w:rPr>
        <w:t>Right</w:t>
      </w:r>
    </w:p>
    <w:p w14:paraId="4D2E36A2" w14:textId="77777777" w:rsidR="00CA4063" w:rsidRPr="00AE0282" w:rsidRDefault="00CA4063" w:rsidP="00CA4063">
      <w:pPr>
        <w:keepNext/>
        <w:keepLines/>
        <w:widowControl/>
        <w:spacing w:before="240"/>
        <w:rPr>
          <w:rFonts w:ascii="Times New Roman" w:hAnsi="Times New Roman" w:cs="Times New Roman"/>
        </w:rPr>
      </w:pPr>
      <w:r w:rsidRPr="00AE0282">
        <w:rPr>
          <w:rFonts w:ascii="Times New Roman" w:hAnsi="Times New Roman" w:cs="Times New Roman"/>
        </w:rPr>
        <w:lastRenderedPageBreak/>
        <w:t>The right to an adequate standard of living is contained in Article 11(1) of the International Covenant on Economic, Social and Cultural Rights (ICESCR) and requires States to ensure the availability and accessibility of the resources that are essential to the realisation of the right: namely, food, water, and housing.</w:t>
      </w:r>
    </w:p>
    <w:p w14:paraId="00F2D4BA" w14:textId="77777777" w:rsidR="00CA4063" w:rsidRPr="00AE0282" w:rsidRDefault="00CA4063" w:rsidP="00CA4063">
      <w:pPr>
        <w:widowControl/>
        <w:rPr>
          <w:rFonts w:ascii="Times New Roman" w:hAnsi="Times New Roman" w:cs="Times New Roman"/>
        </w:rPr>
      </w:pPr>
    </w:p>
    <w:p w14:paraId="7ED78369"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rPr>
        <w:t>Article 4 of the ICESCR provides that this right may be subject to such limitations ‘as are determined by law only in so far as this may be compatible with the nature of these rights and solely for the purpose of promoting the general welfare in a democratic society’. To be consistent with the ICESCR, limitations must be proportionate.</w:t>
      </w:r>
    </w:p>
    <w:p w14:paraId="2CD95AEB" w14:textId="77777777" w:rsidR="00CA4063" w:rsidRPr="00AE0282" w:rsidRDefault="00CA4063" w:rsidP="00CA4063">
      <w:pPr>
        <w:widowControl/>
        <w:rPr>
          <w:rFonts w:ascii="Times New Roman" w:hAnsi="Times New Roman" w:cs="Times New Roman"/>
          <w:u w:val="single"/>
        </w:rPr>
      </w:pPr>
    </w:p>
    <w:p w14:paraId="2981AD7C" w14:textId="77777777" w:rsidR="00CA4063" w:rsidRPr="00AE0282" w:rsidRDefault="00CA4063" w:rsidP="00CA4063">
      <w:pPr>
        <w:widowControl/>
        <w:rPr>
          <w:rFonts w:ascii="Times New Roman" w:hAnsi="Times New Roman" w:cs="Times New Roman"/>
          <w:u w:val="single"/>
        </w:rPr>
      </w:pPr>
      <w:r w:rsidRPr="00AE0282">
        <w:rPr>
          <w:rFonts w:ascii="Times New Roman" w:hAnsi="Times New Roman" w:cs="Times New Roman"/>
          <w:u w:val="single"/>
        </w:rPr>
        <w:t>Permissible limitations</w:t>
      </w:r>
    </w:p>
    <w:p w14:paraId="6EE925CA" w14:textId="77777777" w:rsidR="00CA4063" w:rsidRPr="00AE0282" w:rsidRDefault="00CA4063" w:rsidP="00CA4063">
      <w:pPr>
        <w:widowControl/>
        <w:spacing w:before="240"/>
        <w:rPr>
          <w:rFonts w:ascii="Times New Roman" w:hAnsi="Times New Roman" w:cs="Times New Roman"/>
        </w:rPr>
      </w:pPr>
      <w:r w:rsidRPr="00AE0282">
        <w:rPr>
          <w:rFonts w:ascii="Times New Roman" w:hAnsi="Times New Roman" w:cs="Times New Roman"/>
        </w:rPr>
        <w:t xml:space="preserve">Any limitation on the enjoyment of Article 11(1), to the extent that it occurs, is reasonable and necessary to achieve the objective of the Instrument and are proportionate due to the targeted nature of listings. The Regulations also provide sufficient flexibility to treat different cases differently by allowing for any adverse impacts on family members </w:t>
      </w:r>
      <w:proofErr w:type="gramStart"/>
      <w:r w:rsidRPr="00AE0282">
        <w:rPr>
          <w:rFonts w:ascii="Times New Roman" w:hAnsi="Times New Roman" w:cs="Times New Roman"/>
        </w:rPr>
        <w:t>as a consequence of</w:t>
      </w:r>
      <w:proofErr w:type="gramEnd"/>
      <w:r w:rsidRPr="00AE0282">
        <w:rPr>
          <w:rFonts w:ascii="Times New Roman" w:hAnsi="Times New Roman" w:cs="Times New Roman"/>
        </w:rPr>
        <w:t xml:space="preserve"> targeted financial sanctions to be mitigated. The Regulations provide for the payment of basic expenses (among others) in certain circumstances. The objective of the ‘basic expenses exemption’ in regulation 20 is, in part, to enable the Australian Government to administer the sanctions regime in a manner compatible with relevant human rights standards.</w:t>
      </w:r>
    </w:p>
    <w:p w14:paraId="015BBBFC" w14:textId="77777777" w:rsidR="00CA4063" w:rsidRPr="00AE0282" w:rsidRDefault="00CA4063" w:rsidP="00CA4063">
      <w:pPr>
        <w:widowControl/>
        <w:rPr>
          <w:rFonts w:ascii="Times New Roman" w:hAnsi="Times New Roman" w:cs="Times New Roman"/>
        </w:rPr>
      </w:pPr>
    </w:p>
    <w:p w14:paraId="374760EE"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rPr>
        <w:t>The permit process is a flexible and effective safeguard on any limitation to the enjoyment of Article 11(1).</w:t>
      </w:r>
    </w:p>
    <w:p w14:paraId="485E4EA6" w14:textId="77777777" w:rsidR="00CA4063" w:rsidRPr="00AE0282" w:rsidRDefault="00CA4063" w:rsidP="00CA4063">
      <w:pPr>
        <w:widowControl/>
        <w:rPr>
          <w:rFonts w:ascii="Times New Roman" w:hAnsi="Times New Roman" w:cs="Times New Roman"/>
        </w:rPr>
      </w:pPr>
    </w:p>
    <w:p w14:paraId="64FC007B" w14:textId="77777777" w:rsidR="00CA4063" w:rsidRPr="00AE0282" w:rsidRDefault="00CA4063" w:rsidP="00CA4063">
      <w:pPr>
        <w:widowControl/>
        <w:rPr>
          <w:rFonts w:ascii="Times New Roman" w:hAnsi="Times New Roman" w:cs="Times New Roman"/>
          <w:b/>
          <w:lang w:val="en-GB"/>
        </w:rPr>
      </w:pPr>
      <w:r w:rsidRPr="00AE0282">
        <w:rPr>
          <w:rFonts w:ascii="Times New Roman" w:hAnsi="Times New Roman" w:cs="Times New Roman"/>
          <w:b/>
          <w:lang w:val="en-GB"/>
        </w:rPr>
        <w:t>Right to freedom of movement</w:t>
      </w:r>
    </w:p>
    <w:p w14:paraId="74C717C6" w14:textId="77777777" w:rsidR="00CA4063" w:rsidRPr="00AE0282" w:rsidRDefault="00CA4063" w:rsidP="00546F44">
      <w:pPr>
        <w:widowControl/>
        <w:spacing w:before="240"/>
        <w:rPr>
          <w:rFonts w:ascii="Times New Roman" w:hAnsi="Times New Roman" w:cs="Times New Roman"/>
          <w:u w:val="single"/>
          <w:lang w:val="en-GB"/>
        </w:rPr>
      </w:pPr>
      <w:r w:rsidRPr="00AE0282">
        <w:rPr>
          <w:rFonts w:ascii="Times New Roman" w:hAnsi="Times New Roman" w:cs="Times New Roman"/>
          <w:u w:val="single"/>
          <w:lang w:val="en-GB"/>
        </w:rPr>
        <w:t>Right</w:t>
      </w:r>
    </w:p>
    <w:p w14:paraId="14E7F9F3" w14:textId="77777777" w:rsidR="00CA4063" w:rsidRPr="00AE0282" w:rsidRDefault="00CA4063" w:rsidP="00CA4063">
      <w:pPr>
        <w:widowControl/>
        <w:spacing w:before="240"/>
        <w:rPr>
          <w:rFonts w:ascii="Times New Roman" w:hAnsi="Times New Roman" w:cs="Times New Roman"/>
          <w:lang w:val="en-GB"/>
        </w:rPr>
      </w:pPr>
      <w:r w:rsidRPr="00AE0282">
        <w:rPr>
          <w:rFonts w:ascii="Times New Roman" w:hAnsi="Times New Roman" w:cs="Times New Roman"/>
          <w:lang w:val="en-GB"/>
        </w:rPr>
        <w:t xml:space="preserve">Article 12 of the ICCPR protects the right to freedom of movement, which includes a right to leave Australia, as well as the right to enter, remain, or return to one’s ‘own country’. </w:t>
      </w:r>
    </w:p>
    <w:p w14:paraId="226C8BDD" w14:textId="77777777" w:rsidR="00CA4063" w:rsidRPr="00AE0282" w:rsidRDefault="00CA4063" w:rsidP="00CA4063">
      <w:pPr>
        <w:widowControl/>
        <w:rPr>
          <w:rFonts w:ascii="Times New Roman" w:hAnsi="Times New Roman" w:cs="Times New Roman"/>
          <w:lang w:val="en-GB"/>
        </w:rPr>
      </w:pPr>
    </w:p>
    <w:p w14:paraId="393E53AF" w14:textId="77777777" w:rsidR="00CA4063" w:rsidRPr="00AE0282" w:rsidRDefault="00CA4063" w:rsidP="00CA4063">
      <w:pPr>
        <w:widowControl/>
        <w:rPr>
          <w:rFonts w:ascii="Times New Roman" w:hAnsi="Times New Roman" w:cs="Times New Roman"/>
          <w:lang w:val="en-GB"/>
        </w:rPr>
      </w:pPr>
      <w:r w:rsidRPr="00AE0282">
        <w:rPr>
          <w:rFonts w:ascii="Times New Roman" w:hAnsi="Times New Roman" w:cs="Times New Roman"/>
          <w:lang w:val="en-GB"/>
        </w:rPr>
        <w:t xml:space="preserve">The right to freedom of movement may be restricted under domestic law on any of the grounds in Article 12(3) of the ICCPR, namely national security, public order, public health or morals or the rights and freedoms of others. Any limitation on the enjoyment of the right also needs to be reasonable, </w:t>
      </w:r>
      <w:proofErr w:type="gramStart"/>
      <w:r w:rsidRPr="00AE0282">
        <w:rPr>
          <w:rFonts w:ascii="Times New Roman" w:hAnsi="Times New Roman" w:cs="Times New Roman"/>
          <w:lang w:val="en-GB"/>
        </w:rPr>
        <w:t>necessary</w:t>
      </w:r>
      <w:proofErr w:type="gramEnd"/>
      <w:r w:rsidRPr="00AE0282">
        <w:rPr>
          <w:rFonts w:ascii="Times New Roman" w:hAnsi="Times New Roman" w:cs="Times New Roman"/>
          <w:lang w:val="en-GB"/>
        </w:rPr>
        <w:t xml:space="preserve"> and proportionate.</w:t>
      </w:r>
    </w:p>
    <w:p w14:paraId="271D3578" w14:textId="77777777" w:rsidR="00CA4063" w:rsidRPr="00AE0282" w:rsidRDefault="00CA4063" w:rsidP="00CA4063">
      <w:pPr>
        <w:widowControl/>
        <w:rPr>
          <w:rFonts w:ascii="Times New Roman" w:hAnsi="Times New Roman" w:cs="Times New Roman"/>
          <w:i/>
          <w:lang w:val="en-GB"/>
        </w:rPr>
      </w:pPr>
    </w:p>
    <w:p w14:paraId="26990EB8" w14:textId="77777777" w:rsidR="00CA4063" w:rsidRPr="00AE0282" w:rsidRDefault="00CA4063" w:rsidP="00CA4063">
      <w:pPr>
        <w:widowControl/>
        <w:rPr>
          <w:rFonts w:ascii="Times New Roman" w:hAnsi="Times New Roman" w:cs="Times New Roman"/>
          <w:u w:val="single"/>
          <w:lang w:val="en-GB"/>
        </w:rPr>
      </w:pPr>
      <w:r w:rsidRPr="00AE0282">
        <w:rPr>
          <w:rFonts w:ascii="Times New Roman" w:hAnsi="Times New Roman" w:cs="Times New Roman"/>
          <w:u w:val="single"/>
          <w:lang w:val="en-GB"/>
        </w:rPr>
        <w:t>Permissible limitations</w:t>
      </w:r>
    </w:p>
    <w:p w14:paraId="58D65F51" w14:textId="77777777" w:rsidR="00CA4063" w:rsidRPr="00AE0282" w:rsidRDefault="00CA4063" w:rsidP="00CA4063">
      <w:pPr>
        <w:widowControl/>
        <w:rPr>
          <w:rFonts w:ascii="Times New Roman" w:hAnsi="Times New Roman" w:cs="Times New Roman"/>
          <w:lang w:val="en-GB"/>
        </w:rPr>
      </w:pPr>
    </w:p>
    <w:p w14:paraId="3313824A" w14:textId="77777777" w:rsidR="00CA4063" w:rsidRPr="00AE0282" w:rsidRDefault="00CA4063" w:rsidP="00CA4063">
      <w:r w:rsidRPr="00AE0282">
        <w:t>As the listing criteria in regulation 6 of the Regulations are drafted by reference to specific foreign countries, it is highly unlikely, as a practical matter, that a person declared for a travel ban would be an Australian citizen, or have spent such lengths of time in Australia, such that Australia could be considered their ‘own country’. Furthermore, travel bans – which are a power to refuse a visa and to cancel a visa – do not apply to Australian citizens.</w:t>
      </w:r>
    </w:p>
    <w:p w14:paraId="0E7A1EE3" w14:textId="77777777" w:rsidR="00CA4063" w:rsidRPr="00AE0282" w:rsidRDefault="00CA4063" w:rsidP="00CA4063">
      <w:pPr>
        <w:widowControl/>
        <w:rPr>
          <w:rFonts w:ascii="Times New Roman" w:hAnsi="Times New Roman" w:cs="Times New Roman"/>
          <w:lang w:val="en-GB"/>
        </w:rPr>
      </w:pPr>
    </w:p>
    <w:p w14:paraId="7DFFA14F" w14:textId="77777777" w:rsidR="00CA4063" w:rsidRPr="00AE0282" w:rsidRDefault="00CA4063" w:rsidP="00CA4063">
      <w:pPr>
        <w:widowControl/>
        <w:rPr>
          <w:rFonts w:ascii="Times New Roman" w:hAnsi="Times New Roman" w:cs="Times New Roman"/>
          <w:lang w:val="en-GB"/>
        </w:rPr>
      </w:pPr>
      <w:r w:rsidRPr="00AE0282">
        <w:rPr>
          <w:rFonts w:ascii="Times New Roman" w:hAnsi="Times New Roman" w:cs="Times New Roman"/>
          <w:lang w:val="en-GB"/>
        </w:rPr>
        <w:t xml:space="preserve">To the extent that Article 12(4) is engaged in an individual case, such that a person listed in the Instrument is prevented from entering Australia as their ‘own country’, the imposition of the travel ban would be justified. </w:t>
      </w:r>
    </w:p>
    <w:p w14:paraId="52DC5267" w14:textId="77777777" w:rsidR="00CA4063" w:rsidRPr="00AE0282" w:rsidRDefault="00CA4063" w:rsidP="00CA4063">
      <w:pPr>
        <w:widowControl/>
        <w:rPr>
          <w:rFonts w:ascii="Times New Roman" w:hAnsi="Times New Roman" w:cs="Times New Roman"/>
          <w:lang w:val="en-GB"/>
        </w:rPr>
      </w:pPr>
    </w:p>
    <w:p w14:paraId="69521940" w14:textId="77777777" w:rsidR="00CA4063" w:rsidRPr="00AE0282" w:rsidRDefault="00CA4063" w:rsidP="00CA4063">
      <w:pPr>
        <w:widowControl/>
        <w:rPr>
          <w:rFonts w:ascii="Times New Roman" w:hAnsi="Times New Roman" w:cs="Times New Roman"/>
          <w:lang w:val="en-GB"/>
        </w:rPr>
      </w:pPr>
      <w:r w:rsidRPr="00AE0282">
        <w:rPr>
          <w:rFonts w:ascii="Times New Roman" w:hAnsi="Times New Roman" w:cs="Times New Roman"/>
          <w:lang w:val="en-GB"/>
        </w:rPr>
        <w:lastRenderedPageBreak/>
        <w:t xml:space="preserve">As set out above in relation to Article 17 of the ICCPR, travel bans are a reasonable, </w:t>
      </w:r>
      <w:proofErr w:type="gramStart"/>
      <w:r w:rsidRPr="00AE0282">
        <w:rPr>
          <w:rFonts w:ascii="Times New Roman" w:hAnsi="Times New Roman" w:cs="Times New Roman"/>
          <w:lang w:val="en-GB"/>
        </w:rPr>
        <w:t>necessary</w:t>
      </w:r>
      <w:proofErr w:type="gramEnd"/>
      <w:r w:rsidRPr="00AE0282">
        <w:rPr>
          <w:rFonts w:ascii="Times New Roman" w:hAnsi="Times New Roman" w:cs="Times New Roman"/>
          <w:lang w:val="en-GB"/>
        </w:rPr>
        <w:t xml:space="preserve"> and proportionate means of achieving the legitimate objectives of Australia’s autonomous sanctions regime. Travel bans are reasonable because they are only imposed on persons who the Minister is satisfied are responsible for giving rise to situations of international concern. </w:t>
      </w:r>
    </w:p>
    <w:p w14:paraId="0D9F924E" w14:textId="77777777" w:rsidR="00CA4063" w:rsidRPr="00AE0282" w:rsidRDefault="00CA4063" w:rsidP="00CA4063">
      <w:pPr>
        <w:widowControl/>
        <w:rPr>
          <w:rFonts w:ascii="Times New Roman" w:hAnsi="Times New Roman" w:cs="Times New Roman"/>
          <w:lang w:val="en-GB"/>
        </w:rPr>
      </w:pPr>
    </w:p>
    <w:p w14:paraId="3DBC7CF3" w14:textId="388F0B3E" w:rsidR="00CA4063" w:rsidRPr="00AE0282" w:rsidRDefault="00CA4063" w:rsidP="00CA4063">
      <w:pPr>
        <w:widowControl/>
        <w:rPr>
          <w:rFonts w:ascii="Times New Roman" w:hAnsi="Times New Roman" w:cs="Times New Roman"/>
          <w:lang w:val="en-GB"/>
        </w:rPr>
      </w:pPr>
      <w:r w:rsidRPr="00AE0282">
        <w:rPr>
          <w:rFonts w:ascii="Times New Roman" w:hAnsi="Times New Roman" w:cs="Times New Roman"/>
          <w:lang w:val="en-GB"/>
        </w:rPr>
        <w:t>Preventing a person who is, for example, complicit in the threat to the sovereignty and territorial integrity of Ukraine</w:t>
      </w:r>
      <w:r w:rsidR="00F5765E" w:rsidRPr="00AE0282">
        <w:rPr>
          <w:rFonts w:ascii="Times New Roman" w:hAnsi="Times New Roman" w:cs="Times New Roman"/>
          <w:lang w:val="en-GB"/>
        </w:rPr>
        <w:t xml:space="preserve"> </w:t>
      </w:r>
      <w:r w:rsidRPr="00AE0282">
        <w:rPr>
          <w:rFonts w:ascii="Times New Roman" w:hAnsi="Times New Roman" w:cs="Times New Roman"/>
          <w:lang w:val="en-GB"/>
        </w:rPr>
        <w:t xml:space="preserve">from travelling to, </w:t>
      </w:r>
      <w:proofErr w:type="gramStart"/>
      <w:r w:rsidRPr="00AE0282">
        <w:rPr>
          <w:rFonts w:ascii="Times New Roman" w:hAnsi="Times New Roman" w:cs="Times New Roman"/>
          <w:lang w:val="en-GB"/>
        </w:rPr>
        <w:t>entering</w:t>
      </w:r>
      <w:proofErr w:type="gramEnd"/>
      <w:r w:rsidRPr="00AE0282">
        <w:rPr>
          <w:rFonts w:ascii="Times New Roman" w:hAnsi="Times New Roman" w:cs="Times New Roman"/>
          <w:lang w:val="en-GB"/>
        </w:rPr>
        <w:t xml:space="preserve"> or remaining in Australia through operation of the Instrument, is a reasonable means to achieve the legitimate foreign policy objective of signalling Australia’s concerns about the situation in Ukraine. Australia’s practice in this respect is consistent with that of other countries such as the United States, the United Kingdom and Canada.</w:t>
      </w:r>
    </w:p>
    <w:p w14:paraId="03123C1D" w14:textId="77777777" w:rsidR="00CA4063" w:rsidRPr="00AE0282" w:rsidRDefault="00CA4063" w:rsidP="00CA4063">
      <w:pPr>
        <w:widowControl/>
        <w:rPr>
          <w:rFonts w:ascii="Times New Roman" w:hAnsi="Times New Roman" w:cs="Times New Roman"/>
          <w:lang w:val="en-GB"/>
        </w:rPr>
      </w:pPr>
    </w:p>
    <w:p w14:paraId="6D98E319" w14:textId="77777777" w:rsidR="00CA4063" w:rsidRPr="00AE0282" w:rsidRDefault="00CA4063" w:rsidP="00CA4063">
      <w:pPr>
        <w:widowControl/>
        <w:rPr>
          <w:rFonts w:ascii="Times New Roman" w:hAnsi="Times New Roman" w:cs="Times New Roman"/>
          <w:lang w:val="en-GB"/>
        </w:rPr>
      </w:pPr>
      <w:r w:rsidRPr="00AE0282">
        <w:rPr>
          <w:rFonts w:ascii="Times New Roman" w:hAnsi="Times New Roman" w:cs="Times New Roman"/>
          <w:lang w:val="en-GB"/>
        </w:rPr>
        <w:t xml:space="preserve">The Minister may also waive the operation of a declaration that was made for the purpose of preventing a person from travelling to, </w:t>
      </w:r>
      <w:proofErr w:type="gramStart"/>
      <w:r w:rsidRPr="00AE0282">
        <w:rPr>
          <w:rFonts w:ascii="Times New Roman" w:hAnsi="Times New Roman" w:cs="Times New Roman"/>
          <w:lang w:val="en-GB"/>
        </w:rPr>
        <w:t>entering</w:t>
      </w:r>
      <w:proofErr w:type="gramEnd"/>
      <w:r w:rsidRPr="00AE0282">
        <w:rPr>
          <w:rFonts w:ascii="Times New Roman" w:hAnsi="Times New Roman" w:cs="Times New Roman"/>
          <w:lang w:val="en-GB"/>
        </w:rPr>
        <w:t xml:space="preserve"> or remaining in Australia, on the grounds that it would be in the national interest, or on humanitarian grounds. This decision is subject to natural justice </w:t>
      </w:r>
      <w:proofErr w:type="gramStart"/>
      <w:r w:rsidRPr="00AE0282">
        <w:rPr>
          <w:rFonts w:ascii="Times New Roman" w:hAnsi="Times New Roman" w:cs="Times New Roman"/>
          <w:lang w:val="en-GB"/>
        </w:rPr>
        <w:t>requirements, and</w:t>
      </w:r>
      <w:proofErr w:type="gramEnd"/>
      <w:r w:rsidRPr="00AE0282">
        <w:rPr>
          <w:rFonts w:ascii="Times New Roman" w:hAnsi="Times New Roman" w:cs="Times New Roman"/>
          <w:lang w:val="en-GB"/>
        </w:rPr>
        <w:t xml:space="preserve"> may be judicially reviewed.</w:t>
      </w:r>
    </w:p>
    <w:p w14:paraId="1D4D29A0" w14:textId="77777777" w:rsidR="00CA4063" w:rsidRPr="00AE0282" w:rsidRDefault="00CA4063" w:rsidP="00CA4063">
      <w:pPr>
        <w:rPr>
          <w:b/>
          <w:lang w:val="en-GB"/>
        </w:rPr>
      </w:pPr>
    </w:p>
    <w:p w14:paraId="3442AD20" w14:textId="77777777" w:rsidR="00CA4063" w:rsidRPr="00AE0282" w:rsidRDefault="00CA4063" w:rsidP="00CA4063">
      <w:pPr>
        <w:rPr>
          <w:b/>
          <w:lang w:val="en-GB"/>
        </w:rPr>
      </w:pPr>
      <w:r w:rsidRPr="00AE0282">
        <w:rPr>
          <w:b/>
          <w:lang w:val="en-GB"/>
        </w:rPr>
        <w:t xml:space="preserve">Non-refoulement </w:t>
      </w:r>
    </w:p>
    <w:p w14:paraId="7CF881D5" w14:textId="77777777" w:rsidR="00CA4063" w:rsidRPr="00AE0282" w:rsidRDefault="00CA4063" w:rsidP="00CA4063">
      <w:pPr>
        <w:rPr>
          <w:lang w:val="en-GB"/>
        </w:rPr>
      </w:pPr>
    </w:p>
    <w:p w14:paraId="6499C715" w14:textId="77777777" w:rsidR="00CA4063" w:rsidRPr="00AE0282" w:rsidRDefault="00CA4063" w:rsidP="00CA4063">
      <w:pPr>
        <w:rPr>
          <w:u w:val="single"/>
          <w:lang w:val="en-GB"/>
        </w:rPr>
      </w:pPr>
      <w:r w:rsidRPr="00AE0282">
        <w:rPr>
          <w:u w:val="single"/>
          <w:lang w:val="en-GB"/>
        </w:rPr>
        <w:t>Right</w:t>
      </w:r>
    </w:p>
    <w:p w14:paraId="7A775075" w14:textId="77777777" w:rsidR="00CA4063" w:rsidRPr="00AE0282" w:rsidRDefault="00CA4063" w:rsidP="00CA4063">
      <w:pPr>
        <w:rPr>
          <w:lang w:val="en-GB"/>
        </w:rPr>
      </w:pPr>
    </w:p>
    <w:p w14:paraId="4E56A4EB" w14:textId="77777777" w:rsidR="00CA4063" w:rsidRPr="00AE0282" w:rsidRDefault="00CA4063" w:rsidP="00CA4063">
      <w:pPr>
        <w:rPr>
          <w:rFonts w:eastAsiaTheme="minorHAnsi"/>
          <w:lang w:val="en-GB"/>
        </w:rPr>
      </w:pPr>
      <w:r w:rsidRPr="00AE0282">
        <w:rPr>
          <w:lang w:val="en-GB"/>
        </w:rPr>
        <w:t xml:space="preserve">The obligations relating to the prohibition on torture and other cruel, </w:t>
      </w:r>
      <w:proofErr w:type="gramStart"/>
      <w:r w:rsidRPr="00AE0282">
        <w:rPr>
          <w:lang w:val="en-GB"/>
        </w:rPr>
        <w:t>inhuman</w:t>
      </w:r>
      <w:proofErr w:type="gramEnd"/>
      <w:r w:rsidRPr="00AE0282">
        <w:rPr>
          <w:lang w:val="en-GB"/>
        </w:rPr>
        <w:t xml:space="preserve"> or degrading treatment or punishment under Article 3 of the Convention Against Torture and Other Cruel, Inhuman or Degrading Treatment or Punishment (the CAT) and Article 7 of the ICCPR, as well as Article 6 of the ICCPR on the right to life and prohibition on arbitrary deprivation of life, are engaged by the travel restrictions in the Instrument. There is no permissible derogation from these implied or express non</w:t>
      </w:r>
      <w:r w:rsidRPr="00AE0282">
        <w:rPr>
          <w:lang w:val="en-GB"/>
        </w:rPr>
        <w:noBreakHyphen/>
        <w:t xml:space="preserve">refoulement obligations. </w:t>
      </w:r>
    </w:p>
    <w:p w14:paraId="6D01B47E" w14:textId="77777777" w:rsidR="00CA4063" w:rsidRPr="00AE0282" w:rsidRDefault="00CA4063" w:rsidP="00CA4063"/>
    <w:p w14:paraId="75763FE7" w14:textId="77777777" w:rsidR="00CA4063" w:rsidRPr="00AE0282" w:rsidRDefault="00CA4063" w:rsidP="00CA4063">
      <w:pPr>
        <w:rPr>
          <w:u w:val="single"/>
          <w:lang w:val="en-GB"/>
        </w:rPr>
      </w:pPr>
      <w:r w:rsidRPr="00AE0282">
        <w:rPr>
          <w:u w:val="single"/>
          <w:lang w:val="en-GB"/>
        </w:rPr>
        <w:t>Permissible limitations</w:t>
      </w:r>
    </w:p>
    <w:p w14:paraId="547E841E" w14:textId="77777777" w:rsidR="00CA4063" w:rsidRPr="00AE0282" w:rsidRDefault="00CA4063" w:rsidP="00CA4063">
      <w:pPr>
        <w:widowControl/>
        <w:rPr>
          <w:rFonts w:ascii="Times New Roman" w:hAnsi="Times New Roman" w:cs="Times New Roman"/>
          <w:lang w:val="en-GB"/>
        </w:rPr>
      </w:pPr>
    </w:p>
    <w:p w14:paraId="149F4ED7" w14:textId="77777777" w:rsidR="00CA4063" w:rsidRPr="00AE0282" w:rsidRDefault="00CA4063" w:rsidP="00CA4063">
      <w:pPr>
        <w:widowControl/>
        <w:rPr>
          <w:lang w:val="en-GB"/>
        </w:rPr>
      </w:pPr>
      <w:r w:rsidRPr="00AE0282">
        <w:rPr>
          <w:rFonts w:ascii="Times New Roman" w:hAnsi="Times New Roman" w:cs="Times New Roman"/>
          <w:lang w:val="en-GB"/>
        </w:rPr>
        <w:t xml:space="preserve">To the extent that </w:t>
      </w:r>
      <w:r w:rsidRPr="00AE0282">
        <w:rPr>
          <w:lang w:val="en-GB"/>
        </w:rPr>
        <w:t xml:space="preserve">the travel bans imposed pursuant to the Instrument engage </w:t>
      </w:r>
      <w:r w:rsidRPr="00AE0282">
        <w:rPr>
          <w:rFonts w:ascii="Times New Roman" w:hAnsi="Times New Roman" w:cs="Times New Roman"/>
          <w:lang w:val="en-GB"/>
        </w:rPr>
        <w:t xml:space="preserve">Australia’s non-refoulement obligations, </w:t>
      </w:r>
      <w:r w:rsidRPr="00AE0282">
        <w:rPr>
          <w:lang w:val="en-GB"/>
        </w:rPr>
        <w:t>the Regulations allow the Minister to waive the operation of</w:t>
      </w:r>
      <w:r w:rsidRPr="00AE0282">
        <w:rPr>
          <w:rFonts w:ascii="Times New Roman" w:hAnsi="Times New Roman" w:cs="Times New Roman"/>
          <w:lang w:val="en-GB"/>
        </w:rPr>
        <w:t xml:space="preserve"> a travel ban on the </w:t>
      </w:r>
      <w:r w:rsidRPr="00AE0282">
        <w:rPr>
          <w:lang w:val="en-GB"/>
        </w:rPr>
        <w:t xml:space="preserve">grounds that it would be either: (a) in the national interest; or (b) on humanitarian grounds. </w:t>
      </w:r>
    </w:p>
    <w:p w14:paraId="3EA03CB6" w14:textId="77777777" w:rsidR="00CA4063" w:rsidRPr="00AE0282" w:rsidRDefault="00CA4063" w:rsidP="00CA4063">
      <w:pPr>
        <w:widowControl/>
        <w:rPr>
          <w:lang w:val="en-GB"/>
        </w:rPr>
      </w:pPr>
    </w:p>
    <w:p w14:paraId="2445EB35" w14:textId="77777777" w:rsidR="00CA4063" w:rsidRPr="00AE0282" w:rsidRDefault="00CA4063" w:rsidP="00CA4063">
      <w:pPr>
        <w:widowControl/>
        <w:rPr>
          <w:rFonts w:ascii="Times New Roman" w:hAnsi="Times New Roman" w:cs="Times New Roman"/>
          <w:lang w:val="en-GB"/>
        </w:rPr>
      </w:pPr>
      <w:r w:rsidRPr="00AE0282">
        <w:t xml:space="preserve">A travel ban may lead to the cancellation of a visa held by a non-citizen lawfully in Australia, which can lead to removal under section 198 </w:t>
      </w:r>
      <w:r w:rsidRPr="00AE0282">
        <w:rPr>
          <w:rFonts w:ascii="Times New Roman" w:hAnsi="Times New Roman" w:cs="Times New Roman"/>
          <w:lang w:val="en-GB"/>
        </w:rPr>
        <w:t xml:space="preserve">of the </w:t>
      </w:r>
      <w:r w:rsidRPr="00AE0282">
        <w:rPr>
          <w:rFonts w:ascii="Times New Roman" w:hAnsi="Times New Roman" w:cs="Times New Roman"/>
          <w:i/>
          <w:lang w:val="en-GB"/>
        </w:rPr>
        <w:t>Migration Act 1958</w:t>
      </w:r>
      <w:r w:rsidRPr="00AE0282">
        <w:rPr>
          <w:rFonts w:ascii="Times New Roman" w:hAnsi="Times New Roman" w:cs="Times New Roman"/>
          <w:lang w:val="en-GB"/>
        </w:rPr>
        <w:t xml:space="preserve">. Australia will continue to meet its non-refoulement obligations through mechanisms prior to the person becoming available for removal under the </w:t>
      </w:r>
      <w:r w:rsidRPr="00AE0282">
        <w:rPr>
          <w:rFonts w:ascii="Times New Roman" w:hAnsi="Times New Roman" w:cs="Times New Roman"/>
          <w:i/>
          <w:lang w:val="en-GB"/>
        </w:rPr>
        <w:t>Migration Act 1958</w:t>
      </w:r>
      <w:r w:rsidRPr="00AE0282">
        <w:rPr>
          <w:rFonts w:ascii="Times New Roman" w:hAnsi="Times New Roman" w:cs="Times New Roman"/>
          <w:lang w:val="en-GB"/>
        </w:rPr>
        <w:t xml:space="preserve">, including through the protection visa application process, and </w:t>
      </w:r>
      <w:proofErr w:type="gramStart"/>
      <w:r w:rsidRPr="00AE0282">
        <w:rPr>
          <w:rFonts w:ascii="Times New Roman" w:hAnsi="Times New Roman" w:cs="Times New Roman"/>
          <w:lang w:val="en-GB"/>
        </w:rPr>
        <w:t>through the use of</w:t>
      </w:r>
      <w:proofErr w:type="gramEnd"/>
      <w:r w:rsidRPr="00AE0282">
        <w:rPr>
          <w:rFonts w:ascii="Times New Roman" w:hAnsi="Times New Roman" w:cs="Times New Roman"/>
          <w:lang w:val="en-GB"/>
        </w:rPr>
        <w:t xml:space="preserve"> the Minister for Home Affairs’ personal powers in the </w:t>
      </w:r>
      <w:r w:rsidRPr="00AE0282">
        <w:rPr>
          <w:rFonts w:ascii="Times New Roman" w:hAnsi="Times New Roman" w:cs="Times New Roman"/>
          <w:i/>
          <w:lang w:val="en-GB"/>
        </w:rPr>
        <w:t>Migration Act 1958</w:t>
      </w:r>
      <w:r w:rsidRPr="00AE0282">
        <w:rPr>
          <w:rFonts w:ascii="Times New Roman" w:hAnsi="Times New Roman" w:cs="Times New Roman"/>
          <w:lang w:val="en-GB"/>
        </w:rPr>
        <w:t xml:space="preserve">. </w:t>
      </w:r>
    </w:p>
    <w:p w14:paraId="295D28F9" w14:textId="77777777" w:rsidR="00CA4063" w:rsidRPr="00AE0282" w:rsidRDefault="00CA4063" w:rsidP="00CA4063">
      <w:pPr>
        <w:widowControl/>
        <w:rPr>
          <w:rFonts w:ascii="Times New Roman" w:hAnsi="Times New Roman" w:cs="Times New Roman"/>
          <w:lang w:val="en-GB"/>
        </w:rPr>
      </w:pPr>
    </w:p>
    <w:p w14:paraId="75F98E54" w14:textId="77777777" w:rsidR="00CA4063" w:rsidRPr="00AE0282" w:rsidRDefault="00CA4063" w:rsidP="00CA4063">
      <w:r w:rsidRPr="00AE0282">
        <w:t xml:space="preserve">The Instrument is consistent with Australia’s international non-refoulement obligations as, </w:t>
      </w:r>
      <w:r w:rsidRPr="00AE0282">
        <w:rPr>
          <w:bCs/>
        </w:rPr>
        <w:t>together with the Foreign Minister’s powers to revoke a declaration or waive its operation in an individual case,</w:t>
      </w:r>
      <w:r w:rsidRPr="00AE0282">
        <w:t xml:space="preserve"> non</w:t>
      </w:r>
      <w:r w:rsidRPr="00AE0282">
        <w:noBreakHyphen/>
        <w:t xml:space="preserve">refoulement obligations are considered prior to a person becoming available for removal under the </w:t>
      </w:r>
      <w:r w:rsidRPr="00AE0282">
        <w:rPr>
          <w:i/>
        </w:rPr>
        <w:t>Migration Act 1958</w:t>
      </w:r>
      <w:r w:rsidRPr="00AE0282">
        <w:t xml:space="preserve">.  A person must not be removed from Australia to another country if there is a real risk that the person may be subjected to arbitrary deprivation of life, the death penalty, </w:t>
      </w:r>
      <w:r w:rsidRPr="00AE0282">
        <w:lastRenderedPageBreak/>
        <w:t>torture, cruel or inhuman treatment or punishment, or degrading treatment or punishment.</w:t>
      </w:r>
    </w:p>
    <w:p w14:paraId="01D61D5D" w14:textId="77777777" w:rsidR="00CA4063" w:rsidRPr="00AE0282" w:rsidRDefault="00CA4063" w:rsidP="00CA4063">
      <w:pPr>
        <w:widowControl/>
        <w:rPr>
          <w:rFonts w:ascii="Times New Roman" w:hAnsi="Times New Roman" w:cs="Times New Roman"/>
          <w:lang w:val="en-GB"/>
        </w:rPr>
      </w:pPr>
    </w:p>
    <w:p w14:paraId="0E311B2E" w14:textId="77777777" w:rsidR="00CA4063" w:rsidRPr="00AE0282" w:rsidRDefault="00CA4063" w:rsidP="00CA4063">
      <w:pPr>
        <w:keepNext/>
        <w:keepLines/>
        <w:widowControl/>
        <w:spacing w:after="240"/>
        <w:rPr>
          <w:rFonts w:ascii="Times New Roman" w:hAnsi="Times New Roman" w:cs="Times New Roman"/>
          <w:b/>
        </w:rPr>
      </w:pPr>
      <w:r w:rsidRPr="00AE0282">
        <w:rPr>
          <w:rFonts w:ascii="Times New Roman" w:hAnsi="Times New Roman" w:cs="Times New Roman"/>
          <w:b/>
        </w:rPr>
        <w:t>Right to equality and non-discrimination</w:t>
      </w:r>
    </w:p>
    <w:p w14:paraId="0CEC7581" w14:textId="77777777" w:rsidR="00CA4063" w:rsidRPr="00AE0282" w:rsidRDefault="00CA4063" w:rsidP="00CA4063">
      <w:pPr>
        <w:widowControl/>
        <w:rPr>
          <w:rFonts w:ascii="Times New Roman" w:hAnsi="Times New Roman" w:cs="Times New Roman"/>
          <w:u w:val="single"/>
        </w:rPr>
      </w:pPr>
      <w:r w:rsidRPr="00AE0282">
        <w:rPr>
          <w:rFonts w:ascii="Times New Roman" w:hAnsi="Times New Roman" w:cs="Times New Roman"/>
          <w:u w:val="single"/>
        </w:rPr>
        <w:t>Right</w:t>
      </w:r>
    </w:p>
    <w:p w14:paraId="66648C69" w14:textId="77777777" w:rsidR="00CA4063" w:rsidRPr="00AE0282" w:rsidRDefault="00CA4063" w:rsidP="00CA4063">
      <w:pPr>
        <w:widowControl/>
        <w:rPr>
          <w:rFonts w:ascii="Times New Roman" w:hAnsi="Times New Roman" w:cs="Times New Roman"/>
          <w:u w:val="single"/>
        </w:rPr>
      </w:pPr>
    </w:p>
    <w:p w14:paraId="3A6B7AFA"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rPr>
        <w:t>The right to equality and non-discrimination under Article 26 of the ICCPR provides that everyone is entitled to enjoy their rights without discrimination of any kind, and that people are equal before the law and are entitled without discrimination to the equal and non-discriminatory protection of the law.</w:t>
      </w:r>
    </w:p>
    <w:p w14:paraId="485992B3" w14:textId="77777777" w:rsidR="00CA4063" w:rsidRPr="00AE0282" w:rsidRDefault="00CA4063" w:rsidP="00CA4063">
      <w:pPr>
        <w:widowControl/>
        <w:rPr>
          <w:rFonts w:ascii="Times New Roman" w:hAnsi="Times New Roman" w:cs="Times New Roman"/>
        </w:rPr>
      </w:pPr>
    </w:p>
    <w:p w14:paraId="2F5DBA9D"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rPr>
        <w:t>Differential treatment (including the differential effect of a measure that is neutral on its face) will not constitute unlawful discrimination if the differential treatment is based on reasonable and objective criteria, serves a legitimate objective, and is a proportionate means of achieving that objective.</w:t>
      </w:r>
    </w:p>
    <w:p w14:paraId="39CCEDDB" w14:textId="77777777" w:rsidR="00CA4063" w:rsidRPr="00AE0282" w:rsidRDefault="00CA4063" w:rsidP="00CA4063">
      <w:pPr>
        <w:widowControl/>
        <w:rPr>
          <w:rFonts w:ascii="&amp;quot" w:hAnsi="&amp;quot" w:cs="Times New Roman"/>
          <w:u w:val="single"/>
          <w:lang w:eastAsia="en-AU"/>
        </w:rPr>
      </w:pPr>
    </w:p>
    <w:p w14:paraId="05CDB5B7" w14:textId="77777777" w:rsidR="00CA4063" w:rsidRPr="00AE0282" w:rsidRDefault="00CA4063" w:rsidP="00CA4063">
      <w:pPr>
        <w:widowControl/>
        <w:rPr>
          <w:rFonts w:ascii="Times New Roman" w:hAnsi="Times New Roman" w:cs="Times New Roman"/>
          <w:u w:val="single"/>
        </w:rPr>
      </w:pPr>
      <w:r w:rsidRPr="00AE0282">
        <w:rPr>
          <w:rFonts w:ascii="Times New Roman" w:hAnsi="Times New Roman" w:cs="Times New Roman"/>
          <w:u w:val="single"/>
        </w:rPr>
        <w:t>Permissible limitations</w:t>
      </w:r>
    </w:p>
    <w:p w14:paraId="3FC0E813" w14:textId="77777777" w:rsidR="00CA4063" w:rsidRPr="00AE0282" w:rsidRDefault="00CA4063" w:rsidP="00CA4063">
      <w:pPr>
        <w:widowControl/>
        <w:rPr>
          <w:rFonts w:ascii="Times New Roman" w:hAnsi="Times New Roman" w:cs="Times New Roman"/>
          <w:u w:val="single"/>
        </w:rPr>
      </w:pPr>
    </w:p>
    <w:p w14:paraId="6693FC63"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rPr>
        <w:t xml:space="preserve">Any differential treatment of people </w:t>
      </w:r>
      <w:proofErr w:type="gramStart"/>
      <w:r w:rsidRPr="00AE0282">
        <w:rPr>
          <w:rFonts w:ascii="Times New Roman" w:hAnsi="Times New Roman" w:cs="Times New Roman"/>
        </w:rPr>
        <w:t>as a consequence of</w:t>
      </w:r>
      <w:proofErr w:type="gramEnd"/>
      <w:r w:rsidRPr="00AE0282">
        <w:rPr>
          <w:rFonts w:ascii="Times New Roman" w:hAnsi="Times New Roman" w:cs="Times New Roman"/>
        </w:rPr>
        <w:t xml:space="preserve"> the application of the Instrument does not amount to discrimination pursuant to Article 26 of the ICCPR. </w:t>
      </w:r>
    </w:p>
    <w:p w14:paraId="564659D9" w14:textId="77777777" w:rsidR="00CA4063" w:rsidRPr="00AE0282" w:rsidRDefault="00CA4063" w:rsidP="00CA4063">
      <w:pPr>
        <w:widowControl/>
        <w:rPr>
          <w:rFonts w:ascii="Times New Roman" w:hAnsi="Times New Roman" w:cs="Times New Roman"/>
        </w:rPr>
      </w:pPr>
    </w:p>
    <w:p w14:paraId="63F1CBA5"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rPr>
        <w:t xml:space="preserve">The criteria set out in regulation 6 of the Regulations are reasonable and objective. They are reasonable insofar as they list only those States and activities which the Government has specifically determined give rise to situations of international concern. They are objective as they provide a clear, </w:t>
      </w:r>
      <w:proofErr w:type="gramStart"/>
      <w:r w:rsidRPr="00AE0282">
        <w:rPr>
          <w:rFonts w:ascii="Times New Roman" w:hAnsi="Times New Roman" w:cs="Times New Roman"/>
        </w:rPr>
        <w:t>consistent</w:t>
      </w:r>
      <w:proofErr w:type="gramEnd"/>
      <w:r w:rsidRPr="00AE0282">
        <w:rPr>
          <w:rFonts w:ascii="Times New Roman" w:hAnsi="Times New Roman" w:cs="Times New Roman"/>
        </w:rPr>
        <w:t xml:space="preserve"> and objectively verifiable reference point by which the Minister is able to make a designation or declaration. The Regulations serve a legitimate objective, as discussed above. </w:t>
      </w:r>
    </w:p>
    <w:p w14:paraId="4E1E75C5" w14:textId="77777777" w:rsidR="00CA4063" w:rsidRPr="00AE0282" w:rsidRDefault="00CA4063" w:rsidP="00CA4063">
      <w:pPr>
        <w:widowControl/>
        <w:rPr>
          <w:rFonts w:ascii="Times New Roman" w:hAnsi="Times New Roman" w:cs="Times New Roman"/>
        </w:rPr>
      </w:pPr>
    </w:p>
    <w:p w14:paraId="0198F7F0" w14:textId="5C8FCD86" w:rsidR="00CA4063" w:rsidRPr="00AE0282" w:rsidRDefault="00CA4063" w:rsidP="00CA4063">
      <w:pPr>
        <w:widowControl/>
        <w:rPr>
          <w:rFonts w:ascii="Times New Roman" w:hAnsi="Times New Roman" w:cs="Times New Roman"/>
        </w:rPr>
      </w:pPr>
      <w:r w:rsidRPr="00AE0282">
        <w:rPr>
          <w:rFonts w:ascii="Times New Roman" w:hAnsi="Times New Roman" w:cs="Times New Roman"/>
        </w:rPr>
        <w:t xml:space="preserve">To the extent that the measures result in a differential impact on persons from </w:t>
      </w:r>
      <w:proofErr w:type="gramStart"/>
      <w:r w:rsidRPr="00AE0282">
        <w:rPr>
          <w:rFonts w:ascii="Times New Roman" w:hAnsi="Times New Roman" w:cs="Times New Roman"/>
        </w:rPr>
        <w:t>particular countries</w:t>
      </w:r>
      <w:proofErr w:type="gramEnd"/>
      <w:r w:rsidRPr="00AE0282">
        <w:rPr>
          <w:rFonts w:ascii="Times New Roman" w:hAnsi="Times New Roman" w:cs="Times New Roman"/>
        </w:rPr>
        <w:t xml:space="preserve">, this is both proportionate and necessary to achieve the objective of the Instrument. Country-specific sanctions will inevitably impact persons from certain countries more than others, as they are used as a tool of foreign diplomacy to facilitate the conduct of Australia’s international relations with </w:t>
      </w:r>
      <w:proofErr w:type="gramStart"/>
      <w:r w:rsidRPr="00AE0282">
        <w:rPr>
          <w:rFonts w:ascii="Times New Roman" w:hAnsi="Times New Roman" w:cs="Times New Roman"/>
        </w:rPr>
        <w:t>particular countries</w:t>
      </w:r>
      <w:proofErr w:type="gramEnd"/>
      <w:r w:rsidRPr="00AE0282">
        <w:rPr>
          <w:rFonts w:ascii="Times New Roman" w:hAnsi="Times New Roman" w:cs="Times New Roman"/>
        </w:rPr>
        <w:t xml:space="preserve">. In this case, the measures will predominantly impact persons of </w:t>
      </w:r>
      <w:r w:rsidR="007935B5" w:rsidRPr="00AE0282">
        <w:rPr>
          <w:rFonts w:ascii="Times New Roman" w:hAnsi="Times New Roman" w:cs="Times New Roman"/>
        </w:rPr>
        <w:t>Ukrainian</w:t>
      </w:r>
      <w:r w:rsidR="008A359B" w:rsidRPr="00AE0282">
        <w:rPr>
          <w:rFonts w:ascii="Times New Roman" w:hAnsi="Times New Roman" w:cs="Times New Roman"/>
        </w:rPr>
        <w:t xml:space="preserve"> </w:t>
      </w:r>
      <w:r w:rsidRPr="00AE0282">
        <w:rPr>
          <w:rFonts w:ascii="Times New Roman" w:hAnsi="Times New Roman" w:cs="Times New Roman"/>
        </w:rPr>
        <w:t>national origin or nationality</w:t>
      </w:r>
      <w:r w:rsidR="00466BDE" w:rsidRPr="00AE0282">
        <w:rPr>
          <w:rFonts w:ascii="Times New Roman" w:hAnsi="Times New Roman" w:cs="Times New Roman"/>
        </w:rPr>
        <w:t xml:space="preserve"> who are supporters of </w:t>
      </w:r>
      <w:r w:rsidR="004E48B8" w:rsidRPr="00AE0282">
        <w:rPr>
          <w:rFonts w:ascii="Times New Roman" w:hAnsi="Times New Roman" w:cs="Times New Roman"/>
        </w:rPr>
        <w:t>Russia’s invasion of Ukraine</w:t>
      </w:r>
      <w:r w:rsidRPr="00AE0282">
        <w:rPr>
          <w:rFonts w:ascii="Times New Roman" w:hAnsi="Times New Roman" w:cs="Times New Roman"/>
        </w:rPr>
        <w:t xml:space="preserve">. </w:t>
      </w:r>
    </w:p>
    <w:p w14:paraId="646C5ED8" w14:textId="77777777" w:rsidR="00CA4063" w:rsidRPr="00AE0282" w:rsidRDefault="00CA4063" w:rsidP="00CA4063">
      <w:pPr>
        <w:widowControl/>
        <w:rPr>
          <w:rFonts w:ascii="Times New Roman" w:hAnsi="Times New Roman" w:cs="Times New Roman"/>
        </w:rPr>
      </w:pPr>
    </w:p>
    <w:p w14:paraId="2C7F6833" w14:textId="77777777" w:rsidR="00CA4063" w:rsidRPr="00AE0282" w:rsidRDefault="00CA4063" w:rsidP="00CA4063">
      <w:pPr>
        <w:widowControl/>
        <w:rPr>
          <w:rFonts w:ascii="Times New Roman" w:hAnsi="Times New Roman" w:cs="Times New Roman"/>
        </w:rPr>
      </w:pPr>
      <w:r w:rsidRPr="00AE0282">
        <w:rPr>
          <w:rFonts w:ascii="Times New Roman" w:hAnsi="Times New Roman" w:cs="Times New Roman"/>
        </w:rPr>
        <w:t xml:space="preserve">Denying access to international travel and the international financial system to certain designated individuals is a highly targeted, justified and less rights-restrictive means of achieving the objectives of the Regulations, including in a context where other conventional mechanisms are unavailable. </w:t>
      </w:r>
    </w:p>
    <w:p w14:paraId="2ECD48C4" w14:textId="77777777" w:rsidR="00CA4063" w:rsidRPr="00AE0282" w:rsidRDefault="00CA4063" w:rsidP="00CA4063">
      <w:pPr>
        <w:widowControl/>
        <w:rPr>
          <w:rFonts w:ascii="Times New Roman" w:hAnsi="Times New Roman" w:cs="Times New Roman"/>
        </w:rPr>
      </w:pPr>
    </w:p>
    <w:p w14:paraId="146D51AF" w14:textId="77777777" w:rsidR="00CA4063" w:rsidRPr="007B5802" w:rsidRDefault="00CA4063" w:rsidP="00CA4063">
      <w:pPr>
        <w:widowControl/>
        <w:rPr>
          <w:rFonts w:ascii="Times New Roman" w:hAnsi="Times New Roman"/>
        </w:rPr>
      </w:pPr>
      <w:r w:rsidRPr="00AE0282">
        <w:rPr>
          <w:rFonts w:ascii="Times New Roman" w:hAnsi="Times New Roman" w:cs="Times New Roman"/>
        </w:rPr>
        <w:t>While these measures may impact individuals of certain nationalities and national origins more than others, there is no information to support the view that affected groups are vulnerable. Rather, the individuals designated in the Instrument are persons the Minister is satisfied are involved in activities that give rise to situations of international concern. Further, there are several safeguards, such as the availability of judicial review and regular review processes in place, to ensure that any limitation is proportionate to the objective being sought.</w:t>
      </w:r>
    </w:p>
    <w:p w14:paraId="40E36F2E" w14:textId="77777777" w:rsidR="00CA4063" w:rsidRPr="007B5802" w:rsidRDefault="00CA4063" w:rsidP="00CA4063">
      <w:pPr>
        <w:pStyle w:val="Title"/>
        <w:tabs>
          <w:tab w:val="left" w:pos="6120"/>
        </w:tabs>
        <w:rPr>
          <w:rFonts w:ascii="Times New Roman" w:hAnsi="Times New Roman"/>
        </w:rPr>
      </w:pPr>
    </w:p>
    <w:p w14:paraId="35E76A69" w14:textId="77777777" w:rsidR="00B9478D" w:rsidRDefault="00AE0282"/>
    <w:sectPr w:rsidR="00B9478D" w:rsidSect="00F31D47">
      <w:pgSz w:w="11906" w:h="16838"/>
      <w:pgMar w:top="1276" w:right="1800" w:bottom="709"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772B9" w14:textId="77777777" w:rsidR="001037B6" w:rsidRDefault="001037B6" w:rsidP="00CA4063">
      <w:r>
        <w:separator/>
      </w:r>
    </w:p>
  </w:endnote>
  <w:endnote w:type="continuationSeparator" w:id="0">
    <w:p w14:paraId="2EA61530" w14:textId="77777777" w:rsidR="001037B6" w:rsidRDefault="001037B6" w:rsidP="00CA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380380"/>
      <w:docPartObj>
        <w:docPartGallery w:val="Page Numbers (Bottom of Page)"/>
        <w:docPartUnique/>
      </w:docPartObj>
    </w:sdtPr>
    <w:sdtEndPr>
      <w:rPr>
        <w:noProof/>
      </w:rPr>
    </w:sdtEndPr>
    <w:sdtContent>
      <w:p w14:paraId="0C157F40" w14:textId="77777777" w:rsidR="00CA4063" w:rsidRDefault="00CA4063">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2FBF7F1C" w14:textId="77777777" w:rsidR="00CA4063" w:rsidRDefault="00CA4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E9AAB" w14:textId="77777777" w:rsidR="001037B6" w:rsidRDefault="001037B6" w:rsidP="00CA4063">
      <w:r>
        <w:separator/>
      </w:r>
    </w:p>
  </w:footnote>
  <w:footnote w:type="continuationSeparator" w:id="0">
    <w:p w14:paraId="40AB14F8" w14:textId="77777777" w:rsidR="001037B6" w:rsidRDefault="001037B6" w:rsidP="00CA4063">
      <w:r>
        <w:continuationSeparator/>
      </w:r>
    </w:p>
  </w:footnote>
  <w:footnote w:id="1">
    <w:p w14:paraId="702D11EC" w14:textId="77777777" w:rsidR="00CA4063" w:rsidRDefault="00CA4063" w:rsidP="00CA4063">
      <w:pPr>
        <w:pStyle w:val="FootnoteText"/>
      </w:pPr>
      <w:r>
        <w:rPr>
          <w:rStyle w:val="FootnoteReference"/>
        </w:rPr>
        <w:footnoteRef/>
      </w:r>
      <w:r>
        <w:t xml:space="preserve"> Manfred Nowak, </w:t>
      </w:r>
      <w:r>
        <w:rPr>
          <w:i/>
        </w:rPr>
        <w:t>United Nations Covenant on Civil and Political Rights: CCPR Commentary</w:t>
      </w:r>
      <w:r>
        <w:t xml:space="preserve"> (NP Engel, 1993) 178.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7769C"/>
    <w:multiLevelType w:val="hybridMultilevel"/>
    <w:tmpl w:val="1134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C8683E"/>
    <w:multiLevelType w:val="hybridMultilevel"/>
    <w:tmpl w:val="9A4614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15:restartNumberingAfterBreak="0">
    <w:nsid w:val="25AC6FA1"/>
    <w:multiLevelType w:val="hybridMultilevel"/>
    <w:tmpl w:val="6F4427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D67410"/>
    <w:multiLevelType w:val="hybridMultilevel"/>
    <w:tmpl w:val="9ABCA286"/>
    <w:lvl w:ilvl="0" w:tplc="7F789052">
      <w:start w:val="4"/>
      <w:numFmt w:val="bullet"/>
      <w:lvlText w:val=""/>
      <w:lvlJc w:val="left"/>
      <w:pPr>
        <w:ind w:left="720" w:hanging="360"/>
      </w:pPr>
      <w:rPr>
        <w:rFonts w:ascii="Symbol" w:eastAsia="Times New Roman" w:hAnsi="Symbol" w:cs="Times" w:hint="default"/>
      </w:rPr>
    </w:lvl>
    <w:lvl w:ilvl="1" w:tplc="2FA4F2BE">
      <w:start w:val="1"/>
      <w:numFmt w:val="bullet"/>
      <w:lvlText w:val="o"/>
      <w:lvlJc w:val="left"/>
      <w:pPr>
        <w:ind w:left="1440" w:hanging="360"/>
      </w:pPr>
      <w:rPr>
        <w:rFonts w:ascii="Courier New" w:hAnsi="Courier New" w:cs="Courier New" w:hint="default"/>
      </w:rPr>
    </w:lvl>
    <w:lvl w:ilvl="2" w:tplc="EB0CA920" w:tentative="1">
      <w:start w:val="1"/>
      <w:numFmt w:val="bullet"/>
      <w:lvlText w:val=""/>
      <w:lvlJc w:val="left"/>
      <w:pPr>
        <w:ind w:left="2160" w:hanging="360"/>
      </w:pPr>
      <w:rPr>
        <w:rFonts w:ascii="Wingdings" w:hAnsi="Wingdings" w:hint="default"/>
      </w:rPr>
    </w:lvl>
    <w:lvl w:ilvl="3" w:tplc="9D82F9AC" w:tentative="1">
      <w:start w:val="1"/>
      <w:numFmt w:val="bullet"/>
      <w:lvlText w:val=""/>
      <w:lvlJc w:val="left"/>
      <w:pPr>
        <w:ind w:left="2880" w:hanging="360"/>
      </w:pPr>
      <w:rPr>
        <w:rFonts w:ascii="Symbol" w:hAnsi="Symbol" w:hint="default"/>
      </w:rPr>
    </w:lvl>
    <w:lvl w:ilvl="4" w:tplc="BEF6964C" w:tentative="1">
      <w:start w:val="1"/>
      <w:numFmt w:val="bullet"/>
      <w:lvlText w:val="o"/>
      <w:lvlJc w:val="left"/>
      <w:pPr>
        <w:ind w:left="3600" w:hanging="360"/>
      </w:pPr>
      <w:rPr>
        <w:rFonts w:ascii="Courier New" w:hAnsi="Courier New" w:cs="Courier New" w:hint="default"/>
      </w:rPr>
    </w:lvl>
    <w:lvl w:ilvl="5" w:tplc="54E2E77C" w:tentative="1">
      <w:start w:val="1"/>
      <w:numFmt w:val="bullet"/>
      <w:lvlText w:val=""/>
      <w:lvlJc w:val="left"/>
      <w:pPr>
        <w:ind w:left="4320" w:hanging="360"/>
      </w:pPr>
      <w:rPr>
        <w:rFonts w:ascii="Wingdings" w:hAnsi="Wingdings" w:hint="default"/>
      </w:rPr>
    </w:lvl>
    <w:lvl w:ilvl="6" w:tplc="35929908" w:tentative="1">
      <w:start w:val="1"/>
      <w:numFmt w:val="bullet"/>
      <w:lvlText w:val=""/>
      <w:lvlJc w:val="left"/>
      <w:pPr>
        <w:ind w:left="5040" w:hanging="360"/>
      </w:pPr>
      <w:rPr>
        <w:rFonts w:ascii="Symbol" w:hAnsi="Symbol" w:hint="default"/>
      </w:rPr>
    </w:lvl>
    <w:lvl w:ilvl="7" w:tplc="615A5086" w:tentative="1">
      <w:start w:val="1"/>
      <w:numFmt w:val="bullet"/>
      <w:lvlText w:val="o"/>
      <w:lvlJc w:val="left"/>
      <w:pPr>
        <w:ind w:left="5760" w:hanging="360"/>
      </w:pPr>
      <w:rPr>
        <w:rFonts w:ascii="Courier New" w:hAnsi="Courier New" w:cs="Courier New" w:hint="default"/>
      </w:rPr>
    </w:lvl>
    <w:lvl w:ilvl="8" w:tplc="BEEC11AC"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63"/>
    <w:rsid w:val="00033738"/>
    <w:rsid w:val="000D11D3"/>
    <w:rsid w:val="000E0288"/>
    <w:rsid w:val="001037B6"/>
    <w:rsid w:val="001232E0"/>
    <w:rsid w:val="00195EE4"/>
    <w:rsid w:val="001F4A55"/>
    <w:rsid w:val="00207A98"/>
    <w:rsid w:val="00266694"/>
    <w:rsid w:val="002A681C"/>
    <w:rsid w:val="002F4E3B"/>
    <w:rsid w:val="00316125"/>
    <w:rsid w:val="003446F8"/>
    <w:rsid w:val="0036220B"/>
    <w:rsid w:val="00382572"/>
    <w:rsid w:val="003F3840"/>
    <w:rsid w:val="004206EF"/>
    <w:rsid w:val="00433366"/>
    <w:rsid w:val="00445E1A"/>
    <w:rsid w:val="00466BDE"/>
    <w:rsid w:val="004B0696"/>
    <w:rsid w:val="004E48B8"/>
    <w:rsid w:val="00546F44"/>
    <w:rsid w:val="00586B33"/>
    <w:rsid w:val="005D6564"/>
    <w:rsid w:val="006D1AE4"/>
    <w:rsid w:val="007353AD"/>
    <w:rsid w:val="007935B5"/>
    <w:rsid w:val="007A68AB"/>
    <w:rsid w:val="007E1DE8"/>
    <w:rsid w:val="007E4281"/>
    <w:rsid w:val="00887C68"/>
    <w:rsid w:val="008974E3"/>
    <w:rsid w:val="008A359B"/>
    <w:rsid w:val="008B5E41"/>
    <w:rsid w:val="009267AE"/>
    <w:rsid w:val="00AA714C"/>
    <w:rsid w:val="00AE0282"/>
    <w:rsid w:val="00BB59C2"/>
    <w:rsid w:val="00C5320C"/>
    <w:rsid w:val="00CA4063"/>
    <w:rsid w:val="00D50B12"/>
    <w:rsid w:val="00DD5372"/>
    <w:rsid w:val="00DD6E36"/>
    <w:rsid w:val="00E05A43"/>
    <w:rsid w:val="00E14CD2"/>
    <w:rsid w:val="00E951DE"/>
    <w:rsid w:val="00F45B48"/>
    <w:rsid w:val="00F576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5114B6E"/>
  <w15:chartTrackingRefBased/>
  <w15:docId w15:val="{6B1F1506-EDB1-4F14-9834-D3467DB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063"/>
    <w:pPr>
      <w:widowControl w:val="0"/>
      <w:spacing w:after="0" w:line="240" w:lineRule="auto"/>
    </w:pPr>
    <w:rPr>
      <w:rFonts w:ascii="Times" w:eastAsia="Times New Roman" w:hAnsi="Times" w:cs="Times"/>
      <w:color w:val="000000"/>
      <w:sz w:val="24"/>
      <w:szCs w:val="24"/>
      <w:lang w:eastAsia="zh-CN"/>
    </w:rPr>
  </w:style>
  <w:style w:type="paragraph" w:styleId="Heading1">
    <w:name w:val="heading 1"/>
    <w:basedOn w:val="Normal"/>
    <w:next w:val="Normal"/>
    <w:link w:val="Heading1Char"/>
    <w:qFormat/>
    <w:rsid w:val="00CA4063"/>
    <w:pPr>
      <w:keepNext/>
      <w:widowControl/>
      <w:ind w:left="1133" w:hanging="1157"/>
      <w:jc w:val="center"/>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063"/>
    <w:rPr>
      <w:rFonts w:ascii="Times" w:eastAsia="Times New Roman" w:hAnsi="Times" w:cs="Times"/>
      <w:i/>
      <w:iCs/>
      <w:color w:val="000000"/>
      <w:sz w:val="24"/>
      <w:szCs w:val="24"/>
      <w:lang w:eastAsia="zh-CN"/>
    </w:rPr>
  </w:style>
  <w:style w:type="paragraph" w:styleId="Title">
    <w:name w:val="Title"/>
    <w:basedOn w:val="Normal"/>
    <w:link w:val="TitleChar"/>
    <w:qFormat/>
    <w:rsid w:val="00CA4063"/>
    <w:pPr>
      <w:widowControl/>
      <w:jc w:val="center"/>
    </w:pPr>
    <w:rPr>
      <w:b/>
      <w:bCs/>
      <w:u w:val="single"/>
    </w:rPr>
  </w:style>
  <w:style w:type="character" w:customStyle="1" w:styleId="TitleChar">
    <w:name w:val="Title Char"/>
    <w:basedOn w:val="DefaultParagraphFont"/>
    <w:link w:val="Title"/>
    <w:rsid w:val="00CA4063"/>
    <w:rPr>
      <w:rFonts w:ascii="Times" w:eastAsia="Times New Roman" w:hAnsi="Times" w:cs="Times"/>
      <w:b/>
      <w:bCs/>
      <w:color w:val="000000"/>
      <w:sz w:val="24"/>
      <w:szCs w:val="24"/>
      <w:u w:val="single"/>
      <w:lang w:eastAsia="zh-CN"/>
    </w:rPr>
  </w:style>
  <w:style w:type="paragraph" w:styleId="Footer">
    <w:name w:val="footer"/>
    <w:basedOn w:val="Normal"/>
    <w:link w:val="FooterChar"/>
    <w:uiPriority w:val="99"/>
    <w:unhideWhenUsed/>
    <w:rsid w:val="00CA4063"/>
    <w:pPr>
      <w:tabs>
        <w:tab w:val="center" w:pos="4513"/>
        <w:tab w:val="right" w:pos="9026"/>
      </w:tabs>
    </w:pPr>
  </w:style>
  <w:style w:type="character" w:customStyle="1" w:styleId="FooterChar">
    <w:name w:val="Footer Char"/>
    <w:basedOn w:val="DefaultParagraphFont"/>
    <w:link w:val="Footer"/>
    <w:uiPriority w:val="99"/>
    <w:rsid w:val="00CA4063"/>
    <w:rPr>
      <w:rFonts w:ascii="Times" w:eastAsia="Times New Roman" w:hAnsi="Times" w:cs="Times"/>
      <w:color w:val="000000"/>
      <w:sz w:val="24"/>
      <w:szCs w:val="24"/>
      <w:lang w:eastAsia="zh-CN"/>
    </w:rPr>
  </w:style>
  <w:style w:type="paragraph" w:styleId="ListParagraph">
    <w:name w:val="List Paragraph"/>
    <w:basedOn w:val="Normal"/>
    <w:uiPriority w:val="34"/>
    <w:qFormat/>
    <w:rsid w:val="00CA4063"/>
    <w:pPr>
      <w:ind w:left="720"/>
      <w:contextualSpacing/>
    </w:pPr>
  </w:style>
  <w:style w:type="paragraph" w:styleId="FootnoteText">
    <w:name w:val="footnote text"/>
    <w:basedOn w:val="Normal"/>
    <w:link w:val="FootnoteTextChar"/>
    <w:semiHidden/>
    <w:unhideWhenUsed/>
    <w:rsid w:val="00CA4063"/>
    <w:rPr>
      <w:sz w:val="20"/>
      <w:szCs w:val="20"/>
    </w:rPr>
  </w:style>
  <w:style w:type="character" w:customStyle="1" w:styleId="FootnoteTextChar">
    <w:name w:val="Footnote Text Char"/>
    <w:basedOn w:val="DefaultParagraphFont"/>
    <w:link w:val="FootnoteText"/>
    <w:semiHidden/>
    <w:rsid w:val="00CA4063"/>
    <w:rPr>
      <w:rFonts w:ascii="Times" w:eastAsia="Times New Roman" w:hAnsi="Times" w:cs="Times"/>
      <w:color w:val="000000"/>
      <w:sz w:val="20"/>
      <w:szCs w:val="20"/>
      <w:lang w:eastAsia="zh-CN"/>
    </w:rPr>
  </w:style>
  <w:style w:type="character" w:styleId="FootnoteReference">
    <w:name w:val="footnote reference"/>
    <w:basedOn w:val="DefaultParagraphFont"/>
    <w:uiPriority w:val="99"/>
    <w:semiHidden/>
    <w:unhideWhenUsed/>
    <w:rsid w:val="00CA4063"/>
    <w:rPr>
      <w:vertAlign w:val="superscript"/>
    </w:rPr>
  </w:style>
  <w:style w:type="character" w:styleId="CommentReference">
    <w:name w:val="annotation reference"/>
    <w:basedOn w:val="DefaultParagraphFont"/>
    <w:uiPriority w:val="99"/>
    <w:semiHidden/>
    <w:unhideWhenUsed/>
    <w:rsid w:val="009267AE"/>
    <w:rPr>
      <w:sz w:val="16"/>
      <w:szCs w:val="16"/>
    </w:rPr>
  </w:style>
  <w:style w:type="paragraph" w:styleId="CommentText">
    <w:name w:val="annotation text"/>
    <w:basedOn w:val="Normal"/>
    <w:link w:val="CommentTextChar"/>
    <w:uiPriority w:val="99"/>
    <w:semiHidden/>
    <w:unhideWhenUsed/>
    <w:rsid w:val="009267AE"/>
    <w:rPr>
      <w:sz w:val="20"/>
      <w:szCs w:val="20"/>
    </w:rPr>
  </w:style>
  <w:style w:type="character" w:customStyle="1" w:styleId="CommentTextChar">
    <w:name w:val="Comment Text Char"/>
    <w:basedOn w:val="DefaultParagraphFont"/>
    <w:link w:val="CommentText"/>
    <w:uiPriority w:val="99"/>
    <w:semiHidden/>
    <w:rsid w:val="009267AE"/>
    <w:rPr>
      <w:rFonts w:ascii="Times" w:eastAsia="Times New Roman" w:hAnsi="Times" w:cs="Times"/>
      <w:color w:val="000000"/>
      <w:sz w:val="20"/>
      <w:szCs w:val="20"/>
      <w:lang w:eastAsia="zh-CN"/>
    </w:rPr>
  </w:style>
  <w:style w:type="paragraph" w:styleId="CommentSubject">
    <w:name w:val="annotation subject"/>
    <w:basedOn w:val="CommentText"/>
    <w:next w:val="CommentText"/>
    <w:link w:val="CommentSubjectChar"/>
    <w:uiPriority w:val="99"/>
    <w:semiHidden/>
    <w:unhideWhenUsed/>
    <w:rsid w:val="009267AE"/>
    <w:rPr>
      <w:b/>
      <w:bCs/>
    </w:rPr>
  </w:style>
  <w:style w:type="character" w:customStyle="1" w:styleId="CommentSubjectChar">
    <w:name w:val="Comment Subject Char"/>
    <w:basedOn w:val="CommentTextChar"/>
    <w:link w:val="CommentSubject"/>
    <w:uiPriority w:val="99"/>
    <w:semiHidden/>
    <w:rsid w:val="009267AE"/>
    <w:rPr>
      <w:rFonts w:ascii="Times" w:eastAsia="Times New Roman" w:hAnsi="Times" w:cs="Times"/>
      <w:b/>
      <w:bCs/>
      <w:color w:val="000000"/>
      <w:sz w:val="20"/>
      <w:szCs w:val="20"/>
      <w:lang w:eastAsia="zh-CN"/>
    </w:rPr>
  </w:style>
  <w:style w:type="paragraph" w:styleId="Header">
    <w:name w:val="header"/>
    <w:basedOn w:val="Normal"/>
    <w:link w:val="HeaderChar"/>
    <w:uiPriority w:val="99"/>
    <w:unhideWhenUsed/>
    <w:rsid w:val="00D50B12"/>
    <w:pPr>
      <w:tabs>
        <w:tab w:val="center" w:pos="4513"/>
        <w:tab w:val="right" w:pos="9026"/>
      </w:tabs>
    </w:pPr>
  </w:style>
  <w:style w:type="character" w:customStyle="1" w:styleId="HeaderChar">
    <w:name w:val="Header Char"/>
    <w:basedOn w:val="DefaultParagraphFont"/>
    <w:link w:val="Header"/>
    <w:uiPriority w:val="99"/>
    <w:rsid w:val="00D50B12"/>
    <w:rPr>
      <w:rFonts w:ascii="Times" w:eastAsia="Times New Roman" w:hAnsi="Times" w:cs="Times"/>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urityClassification xmlns="921DE366-F45A-4B58-A6D2-A0E09CB0DCA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DMS Document" ma:contentTypeID="0x010100266966F133664895A6EE3632470D45F50098ABE8046998BB459DCC45E881E0BC9A" ma:contentTypeVersion="" ma:contentTypeDescription="PDMS Document Site Content Type" ma:contentTypeScope="" ma:versionID="5c415a5262180dc77a453a4869331f66">
  <xsd:schema xmlns:xsd="http://www.w3.org/2001/XMLSchema" xmlns:xs="http://www.w3.org/2001/XMLSchema" xmlns:p="http://schemas.microsoft.com/office/2006/metadata/properties" xmlns:ns2="921DE366-F45A-4B58-A6D2-A0E09CB0DCA3" targetNamespace="http://schemas.microsoft.com/office/2006/metadata/properties" ma:root="true" ma:fieldsID="26f06955cc551eb5ed46651fbbaa7c04" ns2:_="">
    <xsd:import namespace="921DE366-F45A-4B58-A6D2-A0E09CB0DCA3"/>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DE366-F45A-4B58-A6D2-A0E09CB0DCA3"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6DC012-6338-4B00-9A6E-2F627F833DFD}">
  <ds:schemaRefs>
    <ds:schemaRef ds:uri="http://schemas.microsoft.com/sharepoint/v3/contenttype/forms"/>
  </ds:schemaRefs>
</ds:datastoreItem>
</file>

<file path=customXml/itemProps2.xml><?xml version="1.0" encoding="utf-8"?>
<ds:datastoreItem xmlns:ds="http://schemas.openxmlformats.org/officeDocument/2006/customXml" ds:itemID="{D3D86D25-15E3-41A5-91B6-391DF744FF18}">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921DE366-F45A-4B58-A6D2-A0E09CB0DCA3"/>
    <ds:schemaRef ds:uri="http://www.w3.org/XML/1998/namespace"/>
  </ds:schemaRefs>
</ds:datastoreItem>
</file>

<file path=customXml/itemProps3.xml><?xml version="1.0" encoding="utf-8"?>
<ds:datastoreItem xmlns:ds="http://schemas.openxmlformats.org/officeDocument/2006/customXml" ds:itemID="{F966624D-F245-43A5-941A-90395A148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DE366-F45A-4B58-A6D2-A0E09CB0D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3499</Words>
  <Characters>19561</Characters>
  <Application>Microsoft Office Word</Application>
  <DocSecurity>0</DocSecurity>
  <Lines>425</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 DFAT</dc:creator>
  <cp:keywords> [SEC=OFFICIAL]</cp:keywords>
  <dc:description/>
  <cp:lastModifiedBy>Joseph Fam</cp:lastModifiedBy>
  <cp:revision>3</cp:revision>
  <dcterms:created xsi:type="dcterms:W3CDTF">2022-04-22T05:50:00Z</dcterms:created>
  <dcterms:modified xsi:type="dcterms:W3CDTF">2022-05-03T09:19:00Z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Image_Header">
    <vt:lpwstr>C:\Program Files (x86)\Common Files\janusNET Shared\janusSEAL\Images\DocumentSlashBlue.png</vt:lpwstr>
  </property>
  <property fmtid="{D5CDD505-2E9C-101B-9397-08002B2CF9AE}" pid="3" name="PM_Caveats_Count">
    <vt:lpwstr>0</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SecurityClassification">
    <vt:lpwstr>OFFICIAL</vt:lpwstr>
  </property>
  <property fmtid="{D5CDD505-2E9C-101B-9397-08002B2CF9AE}" pid="7" name="PM_InsertionValue">
    <vt:lpwstr>OFFICIAL</vt:lpwstr>
  </property>
  <property fmtid="{D5CDD505-2E9C-101B-9397-08002B2CF9AE}" pid="8" name="PM_Originating_FileId">
    <vt:lpwstr>E8099EBB42904DA9873DC8A3EB4194BE</vt:lpwstr>
  </property>
  <property fmtid="{D5CDD505-2E9C-101B-9397-08002B2CF9AE}" pid="9" name="PM_ProtectiveMarkingValue_Footer">
    <vt:lpwstr>OFFICIAL</vt:lpwstr>
  </property>
  <property fmtid="{D5CDD505-2E9C-101B-9397-08002B2CF9AE}" pid="10" name="PM_Originator_Hash_SHA1">
    <vt:lpwstr>F0BFF2105AAC6DD2FAFCE75A892D8555122E2AB7</vt:lpwstr>
  </property>
  <property fmtid="{D5CDD505-2E9C-101B-9397-08002B2CF9AE}" pid="11" name="PM_OriginationTimeStamp">
    <vt:lpwstr>2022-05-03T09:19:50Z</vt:lpwstr>
  </property>
  <property fmtid="{D5CDD505-2E9C-101B-9397-08002B2CF9AE}" pid="12" name="PM_ProtectiveMarkingValue_Header">
    <vt:lpwstr>OFFICIAL</vt:lpwstr>
  </property>
  <property fmtid="{D5CDD505-2E9C-101B-9397-08002B2CF9AE}" pid="13" name="PM_ProtectiveMarkingImage_Footer">
    <vt:lpwstr>C:\Program Files (x86)\Common Files\janusNET Shared\janusSEAL\Images\DocumentSlashBlue.png</vt:lpwstr>
  </property>
  <property fmtid="{D5CDD505-2E9C-101B-9397-08002B2CF9AE}" pid="14" name="PM_Namespace">
    <vt:lpwstr>gov.au</vt:lpwstr>
  </property>
  <property fmtid="{D5CDD505-2E9C-101B-9397-08002B2CF9AE}" pid="15" name="PM_Version">
    <vt:lpwstr>2018.4</vt:lpwstr>
  </property>
  <property fmtid="{D5CDD505-2E9C-101B-9397-08002B2CF9AE}" pid="16" name="PM_Note">
    <vt:lpwstr/>
  </property>
  <property fmtid="{D5CDD505-2E9C-101B-9397-08002B2CF9AE}" pid="17" name="PM_Markers">
    <vt:lpwstr/>
  </property>
  <property fmtid="{D5CDD505-2E9C-101B-9397-08002B2CF9AE}" pid="18" name="PM_Hash_Version">
    <vt:lpwstr>2018.0</vt:lpwstr>
  </property>
  <property fmtid="{D5CDD505-2E9C-101B-9397-08002B2CF9AE}" pid="19" name="PM_Hash_Salt_Prev">
    <vt:lpwstr>8CF667550CC299F598C0C2B29DE45971</vt:lpwstr>
  </property>
  <property fmtid="{D5CDD505-2E9C-101B-9397-08002B2CF9AE}" pid="20" name="PM_Hash_Salt">
    <vt:lpwstr>CA6C130B367D75669A936EE88C23708E</vt:lpwstr>
  </property>
  <property fmtid="{D5CDD505-2E9C-101B-9397-08002B2CF9AE}" pid="21" name="PM_Hash_SHA1">
    <vt:lpwstr>BD380C378F2EDF2F06108FD392FE6C5A51EDE240</vt:lpwstr>
  </property>
  <property fmtid="{D5CDD505-2E9C-101B-9397-08002B2CF9AE}" pid="22" name="PM_SecurityClassification_Prev">
    <vt:lpwstr>OFFICIAL</vt:lpwstr>
  </property>
  <property fmtid="{D5CDD505-2E9C-101B-9397-08002B2CF9AE}" pid="23" name="PM_Qualifier_Prev">
    <vt:lpwstr/>
  </property>
  <property fmtid="{D5CDD505-2E9C-101B-9397-08002B2CF9AE}" pid="24" name="ContentTypeId">
    <vt:lpwstr>0x010100266966F133664895A6EE3632470D45F50098ABE8046998BB459DCC45E881E0BC9A</vt:lpwstr>
  </property>
</Properties>
</file>