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992EF" w14:textId="77777777" w:rsidR="00F52143" w:rsidRPr="00270761" w:rsidRDefault="00F52143" w:rsidP="00F52143">
      <w:pPr>
        <w:pStyle w:val="Title"/>
        <w:tabs>
          <w:tab w:val="left" w:pos="6120"/>
        </w:tabs>
        <w:rPr>
          <w:rFonts w:ascii="Times New Roman" w:hAnsi="Times New Roman" w:cs="Times New Roman"/>
        </w:rPr>
      </w:pPr>
      <w:r w:rsidRPr="00270761">
        <w:rPr>
          <w:rFonts w:ascii="Times New Roman" w:hAnsi="Times New Roman" w:cs="Times New Roman"/>
        </w:rPr>
        <w:t>Explanatory Statement</w:t>
      </w:r>
    </w:p>
    <w:p w14:paraId="6DF6C1EC" w14:textId="77777777" w:rsidR="00F52143" w:rsidRPr="00270761" w:rsidRDefault="00F52143" w:rsidP="00F52143">
      <w:pPr>
        <w:pStyle w:val="Title"/>
        <w:tabs>
          <w:tab w:val="left" w:pos="6120"/>
        </w:tabs>
        <w:rPr>
          <w:rFonts w:ascii="Times New Roman" w:hAnsi="Times New Roman" w:cs="Times New Roman"/>
        </w:rPr>
      </w:pPr>
    </w:p>
    <w:p w14:paraId="2E7A788A" w14:textId="77777777" w:rsidR="00F52143" w:rsidRPr="00270761" w:rsidRDefault="00F52143" w:rsidP="00F52143">
      <w:pPr>
        <w:widowControl/>
        <w:jc w:val="center"/>
        <w:rPr>
          <w:rFonts w:ascii="Times New Roman" w:hAnsi="Times New Roman" w:cs="Times New Roman"/>
        </w:rPr>
      </w:pPr>
      <w:r w:rsidRPr="00270761">
        <w:rPr>
          <w:rFonts w:ascii="Times New Roman" w:hAnsi="Times New Roman" w:cs="Times New Roman"/>
        </w:rPr>
        <w:t>Issued by the Authority of the Minister for Foreign Affairs</w:t>
      </w:r>
    </w:p>
    <w:p w14:paraId="2B6F1F13" w14:textId="77777777" w:rsidR="00F52143" w:rsidRPr="00270761" w:rsidRDefault="00F52143" w:rsidP="00F52143">
      <w:pPr>
        <w:widowControl/>
        <w:jc w:val="center"/>
        <w:rPr>
          <w:rFonts w:ascii="Times New Roman" w:hAnsi="Times New Roman" w:cs="Times New Roman"/>
        </w:rPr>
      </w:pPr>
    </w:p>
    <w:p w14:paraId="6107E6AE" w14:textId="77777777" w:rsidR="00F52143" w:rsidRPr="00270761" w:rsidRDefault="00F52143" w:rsidP="00F52143">
      <w:pPr>
        <w:pStyle w:val="Heading1"/>
        <w:ind w:hanging="1133"/>
        <w:rPr>
          <w:rFonts w:ascii="Times New Roman" w:hAnsi="Times New Roman" w:cs="Times New Roman"/>
        </w:rPr>
      </w:pPr>
      <w:r w:rsidRPr="00270761">
        <w:rPr>
          <w:rFonts w:ascii="Times New Roman" w:hAnsi="Times New Roman" w:cs="Times New Roman"/>
        </w:rPr>
        <w:t>Autonomous Sanctions Regulations 2011</w:t>
      </w:r>
    </w:p>
    <w:p w14:paraId="072985B2" w14:textId="77777777" w:rsidR="00F52143" w:rsidRPr="00270761" w:rsidRDefault="00F52143" w:rsidP="00F52143">
      <w:pPr>
        <w:widowControl/>
        <w:ind w:left="1133" w:hanging="1157"/>
        <w:jc w:val="center"/>
        <w:rPr>
          <w:rFonts w:ascii="Times New Roman" w:hAnsi="Times New Roman" w:cs="Times New Roman"/>
          <w:i/>
        </w:rPr>
      </w:pPr>
    </w:p>
    <w:p w14:paraId="5EFAA107" w14:textId="2E1FB198" w:rsidR="00F52143" w:rsidRPr="00270761" w:rsidRDefault="00F52143" w:rsidP="00F52143">
      <w:pPr>
        <w:jc w:val="center"/>
        <w:rPr>
          <w:rFonts w:ascii="Times New Roman" w:hAnsi="Times New Roman" w:cs="Times New Roman"/>
          <w:i/>
          <w:iCs/>
        </w:rPr>
      </w:pPr>
      <w:r w:rsidRPr="00270761">
        <w:rPr>
          <w:rFonts w:ascii="Times New Roman" w:hAnsi="Times New Roman" w:cs="Times New Roman"/>
          <w:i/>
          <w:iCs/>
        </w:rPr>
        <w:t>Autonomous Sanctions (Designated</w:t>
      </w:r>
      <w:r w:rsidR="0028123C" w:rsidRPr="00270761">
        <w:rPr>
          <w:rFonts w:ascii="Times New Roman" w:hAnsi="Times New Roman" w:cs="Times New Roman"/>
          <w:i/>
          <w:iCs/>
        </w:rPr>
        <w:t xml:space="preserve"> Persons and Entities</w:t>
      </w:r>
      <w:r w:rsidRPr="00270761">
        <w:rPr>
          <w:rFonts w:ascii="Times New Roman" w:hAnsi="Times New Roman" w:cs="Times New Roman"/>
          <w:i/>
          <w:iCs/>
        </w:rPr>
        <w:t xml:space="preserve"> and Declared Person</w:t>
      </w:r>
      <w:r w:rsidR="007D4053" w:rsidRPr="00270761">
        <w:rPr>
          <w:rFonts w:ascii="Times New Roman" w:hAnsi="Times New Roman" w:cs="Times New Roman"/>
          <w:i/>
          <w:iCs/>
        </w:rPr>
        <w:t>s</w:t>
      </w:r>
      <w:r w:rsidR="00497745" w:rsidRPr="00270761">
        <w:rPr>
          <w:iCs/>
        </w:rPr>
        <w:t>—</w:t>
      </w:r>
      <w:r w:rsidR="000A57BB" w:rsidRPr="00270761">
        <w:rPr>
          <w:i/>
        </w:rPr>
        <w:t>Russia and</w:t>
      </w:r>
      <w:r w:rsidR="000A57BB" w:rsidRPr="00270761">
        <w:rPr>
          <w:iCs/>
        </w:rPr>
        <w:t xml:space="preserve"> </w:t>
      </w:r>
      <w:r w:rsidRPr="00270761">
        <w:rPr>
          <w:rFonts w:ascii="Times New Roman" w:hAnsi="Times New Roman" w:cs="Times New Roman"/>
          <w:i/>
          <w:iCs/>
        </w:rPr>
        <w:t xml:space="preserve">Ukraine) Amendment </w:t>
      </w:r>
      <w:r w:rsidR="0028123C" w:rsidRPr="00270761">
        <w:rPr>
          <w:rFonts w:ascii="Times New Roman" w:hAnsi="Times New Roman" w:cs="Times New Roman"/>
          <w:i/>
          <w:iCs/>
        </w:rPr>
        <w:t>(No.</w:t>
      </w:r>
      <w:r w:rsidR="00595B2A" w:rsidRPr="00270761">
        <w:rPr>
          <w:rFonts w:ascii="Times New Roman" w:hAnsi="Times New Roman" w:cs="Times New Roman"/>
          <w:i/>
          <w:iCs/>
        </w:rPr>
        <w:t xml:space="preserve"> </w:t>
      </w:r>
      <w:r w:rsidR="00DF1448" w:rsidRPr="00270761">
        <w:rPr>
          <w:rFonts w:ascii="Times New Roman" w:hAnsi="Times New Roman" w:cs="Times New Roman"/>
          <w:i/>
          <w:iCs/>
        </w:rPr>
        <w:t>1</w:t>
      </w:r>
      <w:r w:rsidR="00533187" w:rsidRPr="00270761">
        <w:rPr>
          <w:rFonts w:ascii="Times New Roman" w:hAnsi="Times New Roman" w:cs="Times New Roman"/>
          <w:i/>
          <w:iCs/>
        </w:rPr>
        <w:t>5</w:t>
      </w:r>
      <w:r w:rsidR="0028123C" w:rsidRPr="00270761">
        <w:rPr>
          <w:rFonts w:ascii="Times New Roman" w:hAnsi="Times New Roman" w:cs="Times New Roman"/>
          <w:i/>
          <w:iCs/>
        </w:rPr>
        <w:t>) Instrument</w:t>
      </w:r>
      <w:r w:rsidRPr="00270761">
        <w:rPr>
          <w:rFonts w:ascii="Times New Roman" w:hAnsi="Times New Roman" w:cs="Times New Roman"/>
          <w:i/>
          <w:iCs/>
        </w:rPr>
        <w:t xml:space="preserve"> </w:t>
      </w:r>
      <w:r w:rsidR="00BB2E48" w:rsidRPr="00270761">
        <w:rPr>
          <w:rFonts w:ascii="Times New Roman" w:hAnsi="Times New Roman" w:cs="Times New Roman"/>
          <w:i/>
          <w:iCs/>
        </w:rPr>
        <w:t>202</w:t>
      </w:r>
      <w:r w:rsidR="00705747" w:rsidRPr="00270761">
        <w:rPr>
          <w:rFonts w:ascii="Times New Roman" w:hAnsi="Times New Roman" w:cs="Times New Roman"/>
          <w:i/>
          <w:iCs/>
        </w:rPr>
        <w:t>2</w:t>
      </w:r>
    </w:p>
    <w:p w14:paraId="50007F8E" w14:textId="77777777" w:rsidR="00F52143" w:rsidRPr="00270761" w:rsidRDefault="00F52143" w:rsidP="00F52143">
      <w:pPr>
        <w:jc w:val="center"/>
      </w:pPr>
    </w:p>
    <w:p w14:paraId="0DAF88C2" w14:textId="3E0D2255" w:rsidR="00F52143" w:rsidRPr="00270761" w:rsidRDefault="00F52143" w:rsidP="00F52143">
      <w:pPr>
        <w:rPr>
          <w:iCs/>
        </w:rPr>
      </w:pPr>
      <w:r w:rsidRPr="00270761">
        <w:rPr>
          <w:iCs/>
        </w:rPr>
        <w:t xml:space="preserve">Autonomous sanctions are measures not involving the use of armed force which </w:t>
      </w:r>
      <w:r w:rsidR="00EB2786" w:rsidRPr="00270761">
        <w:rPr>
          <w:iCs/>
        </w:rPr>
        <w:t>a government</w:t>
      </w:r>
      <w:r w:rsidRPr="00270761">
        <w:rPr>
          <w:iCs/>
        </w:rPr>
        <w:t xml:space="preserve"> imposes as a matter of foreign polic</w:t>
      </w:r>
      <w:r w:rsidR="0099000C" w:rsidRPr="00270761">
        <w:rPr>
          <w:iCs/>
        </w:rPr>
        <w:t xml:space="preserve">y </w:t>
      </w:r>
      <w:r w:rsidRPr="00270761">
        <w:rPr>
          <w:iCs/>
        </w:rPr>
        <w:t>in response to situations of international concern</w:t>
      </w:r>
      <w:r w:rsidR="00F0346F" w:rsidRPr="00270761">
        <w:rPr>
          <w:iCs/>
        </w:rPr>
        <w:t>, including</w:t>
      </w:r>
      <w:r w:rsidRPr="00270761">
        <w:rPr>
          <w:iCs/>
        </w:rPr>
        <w:t xml:space="preserve"> threats to a country’s sovereignty and territorial integrity. </w:t>
      </w:r>
    </w:p>
    <w:p w14:paraId="221E3273" w14:textId="77777777" w:rsidR="00F52143" w:rsidRPr="00270761" w:rsidRDefault="00F52143" w:rsidP="00F52143">
      <w:pPr>
        <w:rPr>
          <w:lang w:eastAsia="en-AU"/>
        </w:rPr>
      </w:pPr>
    </w:p>
    <w:p w14:paraId="6D19A6E1" w14:textId="18EAF152" w:rsidR="003D0B83" w:rsidRPr="00270761" w:rsidRDefault="00F52143" w:rsidP="00F52143">
      <w:pPr>
        <w:rPr>
          <w:lang w:eastAsia="en-AU"/>
        </w:rPr>
      </w:pPr>
      <w:r w:rsidRPr="00270761">
        <w:rPr>
          <w:lang w:eastAsia="en-AU"/>
        </w:rPr>
        <w:t xml:space="preserve">The </w:t>
      </w:r>
      <w:r w:rsidRPr="00270761">
        <w:rPr>
          <w:i/>
          <w:lang w:eastAsia="en-AU"/>
        </w:rPr>
        <w:t>Autonomous Sanctions Regulations 2011</w:t>
      </w:r>
      <w:r w:rsidRPr="00270761">
        <w:rPr>
          <w:lang w:eastAsia="en-AU"/>
        </w:rPr>
        <w:t xml:space="preserve"> (the Regulations) make provision </w:t>
      </w:r>
      <w:r w:rsidR="00300CA3" w:rsidRPr="00270761">
        <w:rPr>
          <w:lang w:eastAsia="en-AU"/>
        </w:rPr>
        <w:t>for</w:t>
      </w:r>
      <w:r w:rsidRPr="00270761">
        <w:rPr>
          <w:lang w:eastAsia="en-AU"/>
        </w:rPr>
        <w:t>, among other things, the proscription of persons or entities for autonomous sanctions</w:t>
      </w:r>
      <w:r w:rsidR="0099000C" w:rsidRPr="00270761">
        <w:rPr>
          <w:lang w:eastAsia="en-AU"/>
        </w:rPr>
        <w:t xml:space="preserve"> in relation to Russia and Ukraine</w:t>
      </w:r>
      <w:r w:rsidRPr="00270761">
        <w:rPr>
          <w:lang w:eastAsia="en-AU"/>
        </w:rPr>
        <w:t xml:space="preserve">. </w:t>
      </w:r>
      <w:r w:rsidR="003F6FF5" w:rsidRPr="00270761">
        <w:rPr>
          <w:lang w:eastAsia="en-AU"/>
        </w:rPr>
        <w:t xml:space="preserve"> </w:t>
      </w:r>
      <w:r w:rsidRPr="00270761">
        <w:rPr>
          <w:lang w:eastAsia="en-AU"/>
        </w:rPr>
        <w:t xml:space="preserve">Regulation 6 </w:t>
      </w:r>
      <w:r w:rsidR="00300CA3" w:rsidRPr="00270761">
        <w:rPr>
          <w:lang w:eastAsia="en-AU"/>
        </w:rPr>
        <w:t xml:space="preserve">of the Regulations </w:t>
      </w:r>
      <w:r w:rsidRPr="00270761">
        <w:rPr>
          <w:lang w:eastAsia="en-AU"/>
        </w:rPr>
        <w:t>enables the Minister for Foreign Affairs (the</w:t>
      </w:r>
      <w:r w:rsidR="00300CA3" w:rsidRPr="00270761">
        <w:rPr>
          <w:lang w:eastAsia="en-AU"/>
        </w:rPr>
        <w:t> </w:t>
      </w:r>
      <w:r w:rsidRPr="00270761">
        <w:rPr>
          <w:lang w:eastAsia="en-AU"/>
        </w:rPr>
        <w:t>Minister) to designate a person or entity for targeted financial sanctions</w:t>
      </w:r>
      <w:r w:rsidR="0099000C" w:rsidRPr="00270761">
        <w:rPr>
          <w:lang w:eastAsia="en-AU"/>
        </w:rPr>
        <w:t>,</w:t>
      </w:r>
      <w:r w:rsidRPr="00270761">
        <w:rPr>
          <w:lang w:eastAsia="en-AU"/>
        </w:rPr>
        <w:t xml:space="preserve"> and/or declare a person for a travel ban, </w:t>
      </w:r>
      <w:r w:rsidR="003D0B83" w:rsidRPr="00270761">
        <w:rPr>
          <w:lang w:eastAsia="en-AU"/>
        </w:rPr>
        <w:t>i</w:t>
      </w:r>
      <w:r w:rsidR="0099000C" w:rsidRPr="00270761">
        <w:rPr>
          <w:lang w:eastAsia="en-AU"/>
        </w:rPr>
        <w:t>f:</w:t>
      </w:r>
    </w:p>
    <w:p w14:paraId="2B8D725E" w14:textId="6095AFAD" w:rsidR="00CD45B1" w:rsidRPr="00270761" w:rsidRDefault="00CD45B1" w:rsidP="00F52143">
      <w:pPr>
        <w:rPr>
          <w:lang w:eastAsia="en-AU"/>
        </w:rPr>
      </w:pPr>
    </w:p>
    <w:p w14:paraId="7B82338D" w14:textId="16FF350E" w:rsidR="00F52143" w:rsidRPr="00270761" w:rsidRDefault="00F52143" w:rsidP="003D0B83">
      <w:pPr>
        <w:pStyle w:val="ListParagraph"/>
        <w:numPr>
          <w:ilvl w:val="0"/>
          <w:numId w:val="8"/>
        </w:numPr>
        <w:rPr>
          <w:lang w:eastAsia="en-AU"/>
        </w:rPr>
      </w:pPr>
      <w:r w:rsidRPr="00270761">
        <w:rPr>
          <w:lang w:eastAsia="en-AU"/>
        </w:rPr>
        <w:t xml:space="preserve">the Minister is satisfied that </w:t>
      </w:r>
      <w:r w:rsidR="0099000C" w:rsidRPr="00270761">
        <w:rPr>
          <w:lang w:eastAsia="en-AU"/>
        </w:rPr>
        <w:t>the person or entity is</w:t>
      </w:r>
      <w:r w:rsidRPr="00270761">
        <w:rPr>
          <w:lang w:eastAsia="en-AU"/>
        </w:rPr>
        <w:t xml:space="preserve"> responsible for, or complicit in, the threat to the sovereignty </w:t>
      </w:r>
      <w:r w:rsidR="00E8377B" w:rsidRPr="00270761">
        <w:rPr>
          <w:lang w:eastAsia="en-AU"/>
        </w:rPr>
        <w:t xml:space="preserve">and territorial integrity </w:t>
      </w:r>
      <w:r w:rsidRPr="00270761">
        <w:rPr>
          <w:lang w:eastAsia="en-AU"/>
        </w:rPr>
        <w:t>of Ukraine (item 9 of the table at regulation 6)</w:t>
      </w:r>
      <w:r w:rsidR="00AE5252" w:rsidRPr="00270761">
        <w:rPr>
          <w:lang w:eastAsia="en-AU"/>
        </w:rPr>
        <w:t xml:space="preserve"> (the </w:t>
      </w:r>
      <w:r w:rsidR="001F4264" w:rsidRPr="00270761">
        <w:rPr>
          <w:lang w:eastAsia="en-AU"/>
        </w:rPr>
        <w:t xml:space="preserve">Ukraine </w:t>
      </w:r>
      <w:r w:rsidR="00AE5252" w:rsidRPr="00270761">
        <w:rPr>
          <w:lang w:eastAsia="en-AU"/>
        </w:rPr>
        <w:t>listing criteria)</w:t>
      </w:r>
      <w:r w:rsidR="001E31D4" w:rsidRPr="00270761">
        <w:rPr>
          <w:lang w:eastAsia="en-AU"/>
        </w:rPr>
        <w:t>;</w:t>
      </w:r>
      <w:r w:rsidR="00FA0B0F" w:rsidRPr="00270761">
        <w:rPr>
          <w:lang w:eastAsia="en-AU"/>
        </w:rPr>
        <w:t xml:space="preserve"> or</w:t>
      </w:r>
    </w:p>
    <w:p w14:paraId="7B3E80A5" w14:textId="0838937C" w:rsidR="006F0300" w:rsidRPr="00270761" w:rsidRDefault="00CD45B1" w:rsidP="006F0300">
      <w:pPr>
        <w:pStyle w:val="ListParagraph"/>
        <w:numPr>
          <w:ilvl w:val="0"/>
          <w:numId w:val="9"/>
        </w:numPr>
        <w:shd w:val="clear" w:color="auto" w:fill="FFFFFF"/>
        <w:spacing w:after="120" w:line="264" w:lineRule="atLeast"/>
        <w:rPr>
          <w:rFonts w:ascii="Times New Roman" w:hAnsi="Times New Roman" w:cs="Times New Roman"/>
          <w:color w:val="auto"/>
          <w:lang w:eastAsia="en-AU"/>
        </w:rPr>
      </w:pPr>
      <w:r w:rsidRPr="00270761">
        <w:rPr>
          <w:lang w:eastAsia="en-AU"/>
        </w:rPr>
        <w:t xml:space="preserve">the </w:t>
      </w:r>
      <w:r w:rsidRPr="00270761">
        <w:rPr>
          <w:rFonts w:ascii="Times New Roman" w:hAnsi="Times New Roman" w:cs="Times New Roman"/>
          <w:color w:val="auto"/>
          <w:lang w:eastAsia="en-AU"/>
        </w:rPr>
        <w:t>Minister is satisfied that the person or entity is, or has been, engaging in an activity or performing a function that is of economic or strategic significance to Russia</w:t>
      </w:r>
      <w:r w:rsidR="006F0300" w:rsidRPr="00270761">
        <w:rPr>
          <w:rFonts w:ascii="Times New Roman" w:hAnsi="Times New Roman" w:cs="Times New Roman"/>
          <w:color w:val="auto"/>
          <w:lang w:eastAsia="en-AU"/>
        </w:rPr>
        <w:t xml:space="preserve"> (paragraph (a)</w:t>
      </w:r>
      <w:r w:rsidR="00F0346F" w:rsidRPr="00270761">
        <w:rPr>
          <w:rFonts w:ascii="Times New Roman" w:hAnsi="Times New Roman" w:cs="Times New Roman"/>
          <w:color w:val="auto"/>
          <w:lang w:eastAsia="en-AU"/>
        </w:rPr>
        <w:t xml:space="preserve"> of item 6A of the table at regulation 6) (</w:t>
      </w:r>
      <w:r w:rsidR="006F0300" w:rsidRPr="00270761">
        <w:rPr>
          <w:rFonts w:ascii="Times New Roman" w:hAnsi="Times New Roman" w:cs="Times New Roman"/>
          <w:color w:val="auto"/>
          <w:lang w:eastAsia="en-AU"/>
        </w:rPr>
        <w:t>the Russia listing criteria)</w:t>
      </w:r>
      <w:r w:rsidR="00FA0B0F" w:rsidRPr="00270761">
        <w:rPr>
          <w:rFonts w:ascii="Times New Roman" w:hAnsi="Times New Roman" w:cs="Times New Roman"/>
          <w:color w:val="auto"/>
          <w:lang w:eastAsia="en-AU"/>
        </w:rPr>
        <w:t>.</w:t>
      </w:r>
    </w:p>
    <w:p w14:paraId="2AA98D9C" w14:textId="2C262D5B" w:rsidR="00F52143" w:rsidRPr="00270761" w:rsidRDefault="00F52143" w:rsidP="00F52143">
      <w:r w:rsidRPr="00270761">
        <w:t xml:space="preserve">The purpose of a designation is to subject the designated person or entity to targeted financial sanctions. </w:t>
      </w:r>
      <w:r w:rsidR="003F6FF5" w:rsidRPr="00270761">
        <w:t xml:space="preserve"> </w:t>
      </w:r>
      <w:r w:rsidRPr="00270761">
        <w:t xml:space="preserve">There are two </w:t>
      </w:r>
      <w:r w:rsidR="00300CA3" w:rsidRPr="00270761">
        <w:t>components to</w:t>
      </w:r>
      <w:r w:rsidRPr="00270761">
        <w:t xml:space="preserve"> targeted financial sanctions under the Regulations:</w:t>
      </w:r>
    </w:p>
    <w:p w14:paraId="45AA58E9" w14:textId="77777777" w:rsidR="00F52143" w:rsidRPr="00270761" w:rsidRDefault="00F52143" w:rsidP="00F52143"/>
    <w:p w14:paraId="3321C82C" w14:textId="4A90F340" w:rsidR="00F52143" w:rsidRPr="00270761" w:rsidRDefault="00300CA3" w:rsidP="00F52143">
      <w:pPr>
        <w:pStyle w:val="ListParagraph"/>
        <w:numPr>
          <w:ilvl w:val="0"/>
          <w:numId w:val="1"/>
        </w:numPr>
      </w:pPr>
      <w:r w:rsidRPr="00270761">
        <w:t>a</w:t>
      </w:r>
      <w:r w:rsidR="00F52143" w:rsidRPr="00270761">
        <w:t xml:space="preserve"> designated person or entity becomes the object of the prohibition in regulation 14 (which prohibits directly or indirectly making an asset available to, or for the benefit of, a designated person or entity, other than as authorised by a permit granted under regulation 18); and/or</w:t>
      </w:r>
    </w:p>
    <w:p w14:paraId="32091E8C" w14:textId="2F41FF8D" w:rsidR="00F52143" w:rsidRPr="00270761" w:rsidRDefault="00F52143" w:rsidP="00F52143">
      <w:pPr>
        <w:pStyle w:val="ListParagraph"/>
        <w:numPr>
          <w:ilvl w:val="0"/>
          <w:numId w:val="1"/>
        </w:numPr>
      </w:pPr>
      <w:r w:rsidRPr="00270761">
        <w:t xml:space="preserve">an asset owned or controlled by a designated person or entity is a </w:t>
      </w:r>
      <w:r w:rsidR="00300CA3" w:rsidRPr="00270761">
        <w:t>‘controlled asset’,</w:t>
      </w:r>
      <w:r w:rsidRPr="00270761">
        <w:t xml:space="preserve"> subject to the prohibition in regulation 15 (which requires a person who holds a controlled asset to freeze that asset, by prohibiting that person from either using or dealing with that asset, or allowing it to be used or dealt with, or facilitating the use of or dealing with it, other than as authorised by a permit granted under regulation 18).</w:t>
      </w:r>
    </w:p>
    <w:p w14:paraId="22E59D2E" w14:textId="77777777" w:rsidR="00F52143" w:rsidRPr="00270761" w:rsidRDefault="00F52143" w:rsidP="00F52143"/>
    <w:p w14:paraId="5DCBA9A7" w14:textId="77777777" w:rsidR="00F52143" w:rsidRPr="00270761" w:rsidRDefault="00F52143" w:rsidP="00F52143">
      <w:r w:rsidRPr="00270761">
        <w:t>The purpose of a declaration is to prevent a person from travelling to, entering or remaining in Australia.</w:t>
      </w:r>
    </w:p>
    <w:p w14:paraId="50544873" w14:textId="77777777" w:rsidR="00F52143" w:rsidRPr="00270761" w:rsidRDefault="00F52143" w:rsidP="00F52143"/>
    <w:p w14:paraId="7102F6DE" w14:textId="439DF1E7" w:rsidR="00F52143" w:rsidRPr="00270761" w:rsidRDefault="00F52143" w:rsidP="00F52143">
      <w:pPr>
        <w:rPr>
          <w:iCs/>
        </w:rPr>
      </w:pPr>
      <w:r w:rsidRPr="00270761">
        <w:t xml:space="preserve">Designated and declared persons, and designated entities, in </w:t>
      </w:r>
      <w:r w:rsidR="0099000C" w:rsidRPr="00270761">
        <w:t>relation to</w:t>
      </w:r>
      <w:r w:rsidRPr="00270761">
        <w:t xml:space="preserve"> </w:t>
      </w:r>
      <w:r w:rsidR="000A57BB" w:rsidRPr="00270761">
        <w:t xml:space="preserve">Russia and </w:t>
      </w:r>
      <w:r w:rsidRPr="00270761">
        <w:t xml:space="preserve">Ukraine are listed in the </w:t>
      </w:r>
      <w:r w:rsidRPr="00270761">
        <w:rPr>
          <w:i/>
        </w:rPr>
        <w:t xml:space="preserve">Autonomous Sanctions (Designated Persons and Entities and Declared Persons – </w:t>
      </w:r>
      <w:r w:rsidR="000A57BB" w:rsidRPr="00270761">
        <w:rPr>
          <w:i/>
        </w:rPr>
        <w:t xml:space="preserve">Russia and </w:t>
      </w:r>
      <w:r w:rsidRPr="00270761">
        <w:rPr>
          <w:i/>
        </w:rPr>
        <w:t xml:space="preserve">Ukraine) List 2014 </w:t>
      </w:r>
      <w:r w:rsidRPr="00270761">
        <w:t>(the 2014 List)</w:t>
      </w:r>
      <w:r w:rsidRPr="00270761">
        <w:rPr>
          <w:i/>
        </w:rPr>
        <w:t xml:space="preserve">. </w:t>
      </w:r>
    </w:p>
    <w:p w14:paraId="63165DD0" w14:textId="77777777" w:rsidR="00B32C88" w:rsidRPr="00270761" w:rsidRDefault="00B32C88" w:rsidP="002071D4"/>
    <w:p w14:paraId="2840AD4A" w14:textId="48C2584C" w:rsidR="00B32C88" w:rsidRPr="00270761" w:rsidRDefault="00B32C88" w:rsidP="00B32C88">
      <w:pPr>
        <w:rPr>
          <w:lang w:eastAsia="en-AU"/>
        </w:rPr>
      </w:pPr>
      <w:r w:rsidRPr="00270761">
        <w:rPr>
          <w:lang w:eastAsia="en-AU"/>
        </w:rPr>
        <w:lastRenderedPageBreak/>
        <w:t xml:space="preserve">In accordance with regulation 6, the Instrument </w:t>
      </w:r>
      <w:r w:rsidR="00CC6D79" w:rsidRPr="00270761">
        <w:rPr>
          <w:lang w:eastAsia="en-AU"/>
        </w:rPr>
        <w:t xml:space="preserve">lists </w:t>
      </w:r>
      <w:r w:rsidR="00010829" w:rsidRPr="00270761">
        <w:rPr>
          <w:lang w:eastAsia="en-AU"/>
        </w:rPr>
        <w:t>7</w:t>
      </w:r>
      <w:r w:rsidR="00C8007B" w:rsidRPr="00270761">
        <w:rPr>
          <w:lang w:eastAsia="en-AU"/>
        </w:rPr>
        <w:t>5 persons for targeted fin</w:t>
      </w:r>
      <w:r w:rsidR="000012DE" w:rsidRPr="00270761">
        <w:rPr>
          <w:lang w:eastAsia="en-AU"/>
        </w:rPr>
        <w:t xml:space="preserve">ancial </w:t>
      </w:r>
      <w:r w:rsidR="00C8007B" w:rsidRPr="00270761">
        <w:rPr>
          <w:lang w:eastAsia="en-AU"/>
        </w:rPr>
        <w:t xml:space="preserve">sanctions and travel </w:t>
      </w:r>
      <w:r w:rsidR="000012DE" w:rsidRPr="00270761">
        <w:rPr>
          <w:lang w:eastAsia="en-AU"/>
        </w:rPr>
        <w:t xml:space="preserve">bans under the Ukraine </w:t>
      </w:r>
      <w:r w:rsidR="00161190" w:rsidRPr="00270761">
        <w:rPr>
          <w:lang w:eastAsia="en-AU"/>
        </w:rPr>
        <w:t xml:space="preserve">listing </w:t>
      </w:r>
      <w:r w:rsidR="000012DE" w:rsidRPr="00270761">
        <w:rPr>
          <w:lang w:eastAsia="en-AU"/>
        </w:rPr>
        <w:t>criteria</w:t>
      </w:r>
      <w:r w:rsidR="002861D2" w:rsidRPr="00270761">
        <w:rPr>
          <w:rFonts w:asciiTheme="majorBidi" w:hAnsiTheme="majorBidi" w:cstheme="majorBidi"/>
        </w:rPr>
        <w:t xml:space="preserve">. </w:t>
      </w:r>
      <w:r w:rsidRPr="00270761">
        <w:rPr>
          <w:lang w:eastAsia="en-AU"/>
        </w:rPr>
        <w:t>The Minister made the designations and declarations being satisfied that</w:t>
      </w:r>
      <w:r w:rsidR="00221CD2" w:rsidRPr="00270761">
        <w:rPr>
          <w:lang w:eastAsia="en-AU"/>
        </w:rPr>
        <w:t xml:space="preserve">, </w:t>
      </w:r>
      <w:r w:rsidR="000012DE" w:rsidRPr="00270761">
        <w:rPr>
          <w:lang w:eastAsia="en-AU"/>
        </w:rPr>
        <w:t>as Members of the State Duma of the Federal Assembly of the Russian Federation who have</w:t>
      </w:r>
      <w:r w:rsidR="00161190" w:rsidRPr="00270761">
        <w:rPr>
          <w:lang w:eastAsia="en-AU"/>
        </w:rPr>
        <w:t xml:space="preserve"> taken action to</w:t>
      </w:r>
      <w:r w:rsidR="000012DE" w:rsidRPr="00270761">
        <w:rPr>
          <w:lang w:eastAsia="en-AU"/>
        </w:rPr>
        <w:t xml:space="preserve"> </w:t>
      </w:r>
      <w:r w:rsidR="00161190" w:rsidRPr="00270761">
        <w:rPr>
          <w:lang w:eastAsia="en-AU"/>
        </w:rPr>
        <w:t>recognise the</w:t>
      </w:r>
      <w:r w:rsidR="000012DE" w:rsidRPr="00270761">
        <w:rPr>
          <w:rFonts w:ascii="Times New Roman" w:hAnsi="Times New Roman" w:cs="Times New Roman"/>
          <w:lang w:eastAsia="en-AU"/>
        </w:rPr>
        <w:t xml:space="preserve"> Ukrainian regions of Donetsk and Luhansk as independent republics</w:t>
      </w:r>
      <w:r w:rsidR="00F51662" w:rsidRPr="00270761">
        <w:rPr>
          <w:lang w:eastAsia="en-AU"/>
        </w:rPr>
        <w:t>,</w:t>
      </w:r>
      <w:r w:rsidR="000167E4" w:rsidRPr="00270761">
        <w:rPr>
          <w:lang w:eastAsia="en-AU"/>
        </w:rPr>
        <w:t xml:space="preserve"> </w:t>
      </w:r>
      <w:r w:rsidR="00A02BA5" w:rsidRPr="00270761">
        <w:rPr>
          <w:lang w:eastAsia="en-AU"/>
        </w:rPr>
        <w:t>th</w:t>
      </w:r>
      <w:r w:rsidR="0099000C" w:rsidRPr="00270761">
        <w:rPr>
          <w:lang w:eastAsia="en-AU"/>
        </w:rPr>
        <w:t xml:space="preserve">e </w:t>
      </w:r>
      <w:r w:rsidR="000012DE" w:rsidRPr="00270761">
        <w:rPr>
          <w:lang w:eastAsia="en-AU"/>
        </w:rPr>
        <w:t xml:space="preserve">75 </w:t>
      </w:r>
      <w:r w:rsidR="0099000C" w:rsidRPr="00270761">
        <w:rPr>
          <w:lang w:eastAsia="en-AU"/>
        </w:rPr>
        <w:t>persons</w:t>
      </w:r>
      <w:r w:rsidR="00A02BA5" w:rsidRPr="00270761">
        <w:rPr>
          <w:lang w:eastAsia="en-AU"/>
        </w:rPr>
        <w:t xml:space="preserve"> </w:t>
      </w:r>
      <w:r w:rsidRPr="00270761">
        <w:rPr>
          <w:lang w:eastAsia="en-AU"/>
        </w:rPr>
        <w:t>are responsible for, or complicit in, the threat to the sovereignty and territorial integrity of Ukraine</w:t>
      </w:r>
      <w:r w:rsidR="00F51662" w:rsidRPr="00270761">
        <w:rPr>
          <w:lang w:eastAsia="en-AU"/>
        </w:rPr>
        <w:t>.</w:t>
      </w:r>
    </w:p>
    <w:p w14:paraId="25A1043B" w14:textId="2D2C04C1" w:rsidR="00161190" w:rsidRPr="00270761" w:rsidRDefault="00161190" w:rsidP="00B32C88">
      <w:pPr>
        <w:rPr>
          <w:lang w:eastAsia="en-AU"/>
        </w:rPr>
      </w:pPr>
    </w:p>
    <w:p w14:paraId="0CBF383B" w14:textId="00DE30D2" w:rsidR="00161190" w:rsidRPr="00270761" w:rsidRDefault="00161190" w:rsidP="00B32C88">
      <w:pPr>
        <w:rPr>
          <w:lang w:eastAsia="en-AU"/>
        </w:rPr>
      </w:pPr>
      <w:r w:rsidRPr="00270761">
        <w:rPr>
          <w:shd w:val="clear" w:color="auto" w:fill="FFFFFF"/>
        </w:rPr>
        <w:t xml:space="preserve">Oleg </w:t>
      </w:r>
      <w:proofErr w:type="spellStart"/>
      <w:r w:rsidRPr="00270761">
        <w:rPr>
          <w:shd w:val="clear" w:color="auto" w:fill="FFFFFF"/>
        </w:rPr>
        <w:t>Matveichev</w:t>
      </w:r>
      <w:proofErr w:type="spellEnd"/>
      <w:r w:rsidRPr="00270761">
        <w:rPr>
          <w:shd w:val="clear" w:color="auto" w:fill="FFFFFF"/>
        </w:rPr>
        <w:t xml:space="preserve"> (Member of the State Duma and member of the State Duma Committee for Informational Policy, </w:t>
      </w:r>
      <w:proofErr w:type="gramStart"/>
      <w:r w:rsidRPr="00270761">
        <w:rPr>
          <w:shd w:val="clear" w:color="auto" w:fill="FFFFFF"/>
        </w:rPr>
        <w:t>Technologies</w:t>
      </w:r>
      <w:proofErr w:type="gramEnd"/>
      <w:r w:rsidRPr="00270761">
        <w:rPr>
          <w:shd w:val="clear" w:color="auto" w:fill="FFFFFF"/>
        </w:rPr>
        <w:t xml:space="preserve"> and Communications)</w:t>
      </w:r>
      <w:r w:rsidRPr="00270761">
        <w:rPr>
          <w:lang w:eastAsia="en-AU"/>
        </w:rPr>
        <w:t xml:space="preserve"> </w:t>
      </w:r>
      <w:r w:rsidR="002D39CA" w:rsidRPr="00270761">
        <w:rPr>
          <w:lang w:eastAsia="en-AU"/>
        </w:rPr>
        <w:t xml:space="preserve">is listed </w:t>
      </w:r>
      <w:r w:rsidRPr="00270761">
        <w:rPr>
          <w:lang w:eastAsia="en-AU"/>
        </w:rPr>
        <w:t xml:space="preserve">for targeted financial sanctions and a travel ban under the Russia listing criteria. The Minister </w:t>
      </w:r>
      <w:r w:rsidRPr="00270761">
        <w:rPr>
          <w:shd w:val="clear" w:color="auto" w:fill="FFFFFF"/>
        </w:rPr>
        <w:t xml:space="preserve">made the designation and declaration being satisfied that, by </w:t>
      </w:r>
      <w:r w:rsidR="004E76DA" w:rsidRPr="00270761">
        <w:rPr>
          <w:shd w:val="clear" w:color="auto" w:fill="FFFFFF"/>
        </w:rPr>
        <w:t xml:space="preserve">publicly </w:t>
      </w:r>
      <w:r w:rsidRPr="00270761">
        <w:rPr>
          <w:shd w:val="clear" w:color="auto" w:fill="FFFFFF"/>
        </w:rPr>
        <w:t>promoting the policies of President Putin</w:t>
      </w:r>
      <w:r w:rsidR="005E785E" w:rsidRPr="00270761">
        <w:rPr>
          <w:shd w:val="clear" w:color="auto" w:fill="FFFFFF"/>
        </w:rPr>
        <w:t xml:space="preserve"> in relation to the invasion of Ukraine</w:t>
      </w:r>
      <w:r w:rsidRPr="00270761">
        <w:rPr>
          <w:shd w:val="clear" w:color="auto" w:fill="FFFFFF"/>
        </w:rPr>
        <w:t xml:space="preserve">, he is or has been engaging in an activity or performing a function that is of strategic significance to Russia. </w:t>
      </w:r>
    </w:p>
    <w:p w14:paraId="579C2F11" w14:textId="1DC67BF0" w:rsidR="00A02BA5" w:rsidRPr="00270761" w:rsidRDefault="00A02BA5" w:rsidP="00B32C88">
      <w:pPr>
        <w:rPr>
          <w:lang w:eastAsia="en-AU"/>
        </w:rPr>
      </w:pPr>
    </w:p>
    <w:p w14:paraId="566220A1" w14:textId="58821C6F" w:rsidR="00826C57" w:rsidRPr="00270761" w:rsidRDefault="002D39CA" w:rsidP="00B32C88">
      <w:pPr>
        <w:widowControl/>
        <w:shd w:val="clear" w:color="auto" w:fill="FFFFFF"/>
        <w:rPr>
          <w:rFonts w:ascii="Times New Roman" w:hAnsi="Times New Roman" w:cs="Times New Roman"/>
          <w:lang w:eastAsia="en-AU"/>
        </w:rPr>
      </w:pPr>
      <w:r w:rsidRPr="00270761">
        <w:rPr>
          <w:rFonts w:ascii="Times New Roman" w:hAnsi="Times New Roman" w:cs="Times New Roman"/>
          <w:lang w:eastAsia="en-AU"/>
        </w:rPr>
        <w:t xml:space="preserve">The Instrument also corrects the biodata of 14 persons who have previously been listed for targeted financial sanctions and travel </w:t>
      </w:r>
      <w:proofErr w:type="gramStart"/>
      <w:r w:rsidRPr="00270761">
        <w:rPr>
          <w:rFonts w:ascii="Times New Roman" w:hAnsi="Times New Roman" w:cs="Times New Roman"/>
          <w:lang w:eastAsia="en-AU"/>
        </w:rPr>
        <w:t>bans</w:t>
      </w:r>
      <w:r w:rsidR="00F0346F" w:rsidRPr="00270761">
        <w:rPr>
          <w:rFonts w:ascii="Times New Roman" w:hAnsi="Times New Roman" w:cs="Times New Roman"/>
          <w:lang w:eastAsia="en-AU"/>
        </w:rPr>
        <w:t>,</w:t>
      </w:r>
      <w:r w:rsidRPr="00270761">
        <w:rPr>
          <w:rFonts w:ascii="Times New Roman" w:hAnsi="Times New Roman" w:cs="Times New Roman"/>
          <w:lang w:eastAsia="en-AU"/>
        </w:rPr>
        <w:t xml:space="preserve"> and</w:t>
      </w:r>
      <w:proofErr w:type="gramEnd"/>
      <w:r w:rsidRPr="00270761">
        <w:rPr>
          <w:rFonts w:ascii="Times New Roman" w:hAnsi="Times New Roman" w:cs="Times New Roman"/>
          <w:lang w:eastAsia="en-AU"/>
        </w:rPr>
        <w:t xml:space="preserve"> makes </w:t>
      </w:r>
      <w:r w:rsidR="009726DF" w:rsidRPr="00270761">
        <w:rPr>
          <w:rFonts w:ascii="Times New Roman" w:hAnsi="Times New Roman" w:cs="Times New Roman"/>
          <w:lang w:eastAsia="en-AU"/>
        </w:rPr>
        <w:t xml:space="preserve">minor </w:t>
      </w:r>
      <w:r w:rsidRPr="00270761">
        <w:rPr>
          <w:rFonts w:ascii="Times New Roman" w:hAnsi="Times New Roman" w:cs="Times New Roman"/>
          <w:lang w:eastAsia="en-AU"/>
        </w:rPr>
        <w:t xml:space="preserve">technical amendments </w:t>
      </w:r>
      <w:r w:rsidR="00826C57" w:rsidRPr="00270761">
        <w:rPr>
          <w:rFonts w:cstheme="minorHAnsi"/>
        </w:rPr>
        <w:t xml:space="preserve">to ensure that references to the instrument of first designation and declaration in relation to certain listings is accurate. </w:t>
      </w:r>
    </w:p>
    <w:p w14:paraId="1C549767" w14:textId="77777777" w:rsidR="00826C57" w:rsidRPr="00270761" w:rsidRDefault="00826C57" w:rsidP="00B32C88">
      <w:pPr>
        <w:widowControl/>
        <w:shd w:val="clear" w:color="auto" w:fill="FFFFFF"/>
        <w:rPr>
          <w:rFonts w:ascii="Times New Roman" w:hAnsi="Times New Roman" w:cs="Times New Roman"/>
          <w:lang w:eastAsia="en-AU"/>
        </w:rPr>
      </w:pPr>
    </w:p>
    <w:p w14:paraId="140B536C" w14:textId="0D8AAE7D" w:rsidR="00B32C88" w:rsidRPr="00270761" w:rsidRDefault="00B32C88" w:rsidP="00B32C88">
      <w:pPr>
        <w:widowControl/>
        <w:shd w:val="clear" w:color="auto" w:fill="FFFFFF"/>
        <w:rPr>
          <w:rFonts w:ascii="Times New Roman" w:hAnsi="Times New Roman" w:cs="Times New Roman"/>
          <w:lang w:eastAsia="en-AU"/>
        </w:rPr>
      </w:pPr>
      <w:r w:rsidRPr="00270761">
        <w:rPr>
          <w:rFonts w:ascii="Times New Roman" w:hAnsi="Times New Roman" w:cs="Times New Roman"/>
          <w:lang w:eastAsia="en-AU"/>
        </w:rPr>
        <w:t>Under subregulation</w:t>
      </w:r>
      <w:r w:rsidR="00C30C33" w:rsidRPr="00270761">
        <w:rPr>
          <w:rFonts w:ascii="Times New Roman" w:hAnsi="Times New Roman" w:cs="Times New Roman"/>
          <w:lang w:eastAsia="en-AU"/>
        </w:rPr>
        <w:t>s</w:t>
      </w:r>
      <w:r w:rsidRPr="00270761">
        <w:rPr>
          <w:rFonts w:ascii="Times New Roman" w:hAnsi="Times New Roman" w:cs="Times New Roman"/>
          <w:lang w:eastAsia="en-AU"/>
        </w:rPr>
        <w:t xml:space="preserve"> 9(1)</w:t>
      </w:r>
      <w:r w:rsidR="00C30C33" w:rsidRPr="00270761">
        <w:rPr>
          <w:rFonts w:ascii="Times New Roman" w:hAnsi="Times New Roman" w:cs="Times New Roman"/>
          <w:lang w:eastAsia="en-AU"/>
        </w:rPr>
        <w:t xml:space="preserve"> and (2)</w:t>
      </w:r>
      <w:r w:rsidRPr="00270761">
        <w:rPr>
          <w:rFonts w:ascii="Times New Roman" w:hAnsi="Times New Roman" w:cs="Times New Roman"/>
          <w:lang w:eastAsia="en-AU"/>
        </w:rPr>
        <w:t xml:space="preserve"> of the Regulations, designations and declarations </w:t>
      </w:r>
      <w:r w:rsidR="00341725" w:rsidRPr="00270761">
        <w:rPr>
          <w:rFonts w:ascii="Times New Roman" w:hAnsi="Times New Roman" w:cs="Times New Roman"/>
          <w:lang w:eastAsia="en-AU"/>
        </w:rPr>
        <w:t xml:space="preserve">that are made under regulation 6 of the Regulations </w:t>
      </w:r>
      <w:r w:rsidRPr="00270761">
        <w:rPr>
          <w:rFonts w:ascii="Times New Roman" w:hAnsi="Times New Roman" w:cs="Times New Roman"/>
          <w:lang w:eastAsia="en-AU"/>
        </w:rPr>
        <w:t>cease to have effect three years after the date on which they took effect, unless the Minister declares they are to continue pursuant to subregulation 9(3).</w:t>
      </w:r>
    </w:p>
    <w:p w14:paraId="118C2596" w14:textId="77777777" w:rsidR="00B32C88" w:rsidRPr="00270761" w:rsidRDefault="00B32C88" w:rsidP="00B32C88">
      <w:pPr>
        <w:widowControl/>
        <w:shd w:val="clear" w:color="auto" w:fill="FFFFFF"/>
        <w:rPr>
          <w:rFonts w:ascii="Times New Roman" w:hAnsi="Times New Roman" w:cs="Times New Roman"/>
          <w:lang w:eastAsia="en-AU"/>
        </w:rPr>
      </w:pPr>
      <w:r w:rsidRPr="00270761">
        <w:rPr>
          <w:rFonts w:ascii="Times New Roman" w:hAnsi="Times New Roman" w:cs="Times New Roman"/>
          <w:lang w:eastAsia="en-AU"/>
        </w:rPr>
        <w:t> </w:t>
      </w:r>
    </w:p>
    <w:p w14:paraId="19C59764" w14:textId="0EE17E05" w:rsidR="00F52143" w:rsidRPr="00270761" w:rsidRDefault="00F52143" w:rsidP="00F52143">
      <w:r w:rsidRPr="00270761">
        <w:t xml:space="preserve">Details of the </w:t>
      </w:r>
      <w:r w:rsidR="0028123C" w:rsidRPr="00270761">
        <w:t>Instrument</w:t>
      </w:r>
      <w:r w:rsidRPr="00270761">
        <w:t xml:space="preserve"> which amend</w:t>
      </w:r>
      <w:r w:rsidR="0042020B" w:rsidRPr="00270761">
        <w:t>s</w:t>
      </w:r>
      <w:r w:rsidRPr="00270761">
        <w:t xml:space="preserve"> the 2014 List are set out at </w:t>
      </w:r>
      <w:r w:rsidRPr="00270761">
        <w:rPr>
          <w:b/>
        </w:rPr>
        <w:t>Attachment A</w:t>
      </w:r>
      <w:r w:rsidRPr="00270761">
        <w:t xml:space="preserve">. </w:t>
      </w:r>
    </w:p>
    <w:p w14:paraId="4C4D8ACE" w14:textId="77777777" w:rsidR="00F52143" w:rsidRPr="00270761" w:rsidRDefault="00F52143" w:rsidP="00F52143">
      <w:pPr>
        <w:rPr>
          <w:i/>
        </w:rPr>
      </w:pPr>
    </w:p>
    <w:p w14:paraId="64B8D86A" w14:textId="42E9F958" w:rsidR="00047743" w:rsidRPr="00270761" w:rsidRDefault="00F52143" w:rsidP="00652B54">
      <w:pPr>
        <w:widowControl/>
        <w:rPr>
          <w:shd w:val="clear" w:color="auto" w:fill="FFFFFF"/>
        </w:rPr>
      </w:pPr>
      <w:r w:rsidRPr="00270761">
        <w:t xml:space="preserve">The legal framework for the imposition of autonomous sanctions by Australia, of which the Regulations and the </w:t>
      </w:r>
      <w:r w:rsidR="002071D4" w:rsidRPr="00270761">
        <w:t>2014 List</w:t>
      </w:r>
      <w:r w:rsidR="0028123C" w:rsidRPr="00270761">
        <w:t xml:space="preserve"> </w:t>
      </w:r>
      <w:r w:rsidRPr="00270761">
        <w:t xml:space="preserve">are part, was the subject of extensive consultation with governmental and non-governmental stakeholders when introduced. The </w:t>
      </w:r>
      <w:r w:rsidR="009D4107" w:rsidRPr="00270761">
        <w:t xml:space="preserve">new </w:t>
      </w:r>
      <w:r w:rsidRPr="00270761">
        <w:t xml:space="preserve">sanctions being imposed through the making of the </w:t>
      </w:r>
      <w:r w:rsidR="0028123C" w:rsidRPr="00270761">
        <w:t xml:space="preserve">Instrument </w:t>
      </w:r>
      <w:r w:rsidRPr="00270761">
        <w:t xml:space="preserve">were subject to targeted consultation within government and with relevant international partners. In order to meet the policy objective of prohibiting unauthorised financial transactions involving the </w:t>
      </w:r>
      <w:r w:rsidR="00047743" w:rsidRPr="00270761">
        <w:t xml:space="preserve">entities </w:t>
      </w:r>
      <w:r w:rsidRPr="00270761">
        <w:t xml:space="preserve">specified in the </w:t>
      </w:r>
      <w:r w:rsidR="0028123C" w:rsidRPr="00270761">
        <w:t>Instrument</w:t>
      </w:r>
      <w:r w:rsidRPr="00270761">
        <w:t xml:space="preserve">, the </w:t>
      </w:r>
      <w:r w:rsidR="00C855C7" w:rsidRPr="00270761">
        <w:t>Minister</w:t>
      </w:r>
      <w:r w:rsidRPr="00270761">
        <w:t xml:space="preserve"> is satisfied that wider consultations beyond those already undertaken would </w:t>
      </w:r>
      <w:r w:rsidR="002071D4" w:rsidRPr="00270761">
        <w:t>not be appropriate</w:t>
      </w:r>
      <w:r w:rsidR="00497745" w:rsidRPr="00270761">
        <w:t xml:space="preserve"> </w:t>
      </w:r>
      <w:r w:rsidR="00C855C7" w:rsidRPr="00270761">
        <w:t xml:space="preserve">or practicable </w:t>
      </w:r>
      <w:r w:rsidR="00497745" w:rsidRPr="00270761">
        <w:t xml:space="preserve">(subsections 17(1) and (2) of the </w:t>
      </w:r>
      <w:r w:rsidR="00497745" w:rsidRPr="00270761">
        <w:rPr>
          <w:i/>
        </w:rPr>
        <w:t>Legislation Act 2003</w:t>
      </w:r>
      <w:r w:rsidR="00497745" w:rsidRPr="00270761">
        <w:t>)</w:t>
      </w:r>
      <w:r w:rsidR="008C6643" w:rsidRPr="00270761">
        <w:t>. Consultation would risk alerting persons to the impe</w:t>
      </w:r>
      <w:r w:rsidR="00E8377B" w:rsidRPr="00270761">
        <w:t>n</w:t>
      </w:r>
      <w:r w:rsidR="008C6643" w:rsidRPr="00270761">
        <w:t>ding sanctions and enabling capital flight before assets can be frozen</w:t>
      </w:r>
      <w:r w:rsidR="00497745" w:rsidRPr="00270761">
        <w:t>.</w:t>
      </w:r>
      <w:r w:rsidR="00652B54" w:rsidRPr="00270761">
        <w:t xml:space="preserve"> </w:t>
      </w:r>
    </w:p>
    <w:p w14:paraId="60A399F9" w14:textId="77777777" w:rsidR="00F73C78" w:rsidRPr="00270761" w:rsidRDefault="00F73C78" w:rsidP="00652B54">
      <w:pPr>
        <w:widowControl/>
      </w:pPr>
    </w:p>
    <w:p w14:paraId="1918BDCB" w14:textId="6CC2E451" w:rsidR="00F52143" w:rsidRPr="00270761" w:rsidRDefault="00F52143" w:rsidP="00F52143">
      <w:pPr>
        <w:autoSpaceDE w:val="0"/>
        <w:autoSpaceDN w:val="0"/>
        <w:adjustRightInd w:val="0"/>
      </w:pPr>
      <w:r w:rsidRPr="00270761">
        <w:t>The Office of Best Practice Regulation (OBPR) has advised that a Regulation Impact Statement is not required</w:t>
      </w:r>
      <w:r w:rsidR="008E3290" w:rsidRPr="00270761">
        <w:t xml:space="preserve"> for listing instruments</w:t>
      </w:r>
      <w:r w:rsidR="00545EC1" w:rsidRPr="00270761">
        <w:t xml:space="preserve"> of this nature</w:t>
      </w:r>
      <w:r w:rsidRPr="00270761">
        <w:t xml:space="preserve"> (OBPR reference: </w:t>
      </w:r>
      <w:r w:rsidR="00545EC1" w:rsidRPr="00270761">
        <w:rPr>
          <w:lang w:val="en-US"/>
        </w:rPr>
        <w:t>OBPR22-02078</w:t>
      </w:r>
      <w:r w:rsidRPr="00270761">
        <w:t>).</w:t>
      </w:r>
    </w:p>
    <w:p w14:paraId="6535D63B" w14:textId="77777777" w:rsidR="00F52143" w:rsidRPr="00270761" w:rsidRDefault="00F52143" w:rsidP="00F52143">
      <w:pPr>
        <w:widowControl/>
      </w:pPr>
      <w:r w:rsidRPr="00270761">
        <w:br w:type="page"/>
      </w:r>
    </w:p>
    <w:p w14:paraId="5D688C32" w14:textId="77777777" w:rsidR="00F52143" w:rsidRPr="00270761" w:rsidRDefault="00F52143" w:rsidP="00F52143">
      <w:pPr>
        <w:widowControl/>
        <w:jc w:val="right"/>
        <w:rPr>
          <w:b/>
        </w:rPr>
      </w:pPr>
      <w:r w:rsidRPr="00270761">
        <w:rPr>
          <w:b/>
        </w:rPr>
        <w:lastRenderedPageBreak/>
        <w:t>Attachment A</w:t>
      </w:r>
    </w:p>
    <w:p w14:paraId="0ED7302F" w14:textId="77777777" w:rsidR="00F52143" w:rsidRPr="00270761" w:rsidRDefault="00F52143" w:rsidP="00F52143">
      <w:pPr>
        <w:widowControl/>
        <w:jc w:val="right"/>
      </w:pPr>
    </w:p>
    <w:p w14:paraId="706042A1" w14:textId="71DE0A0D" w:rsidR="00F52143" w:rsidRPr="00270761" w:rsidRDefault="00F52143" w:rsidP="00F52143">
      <w:pPr>
        <w:widowControl/>
        <w:jc w:val="center"/>
        <w:rPr>
          <w:rFonts w:ascii="Times New Roman" w:hAnsi="Times New Roman" w:cs="Times New Roman"/>
          <w:i/>
          <w:iCs/>
        </w:rPr>
      </w:pPr>
      <w:r w:rsidRPr="00270761">
        <w:rPr>
          <w:rFonts w:ascii="Times New Roman" w:hAnsi="Times New Roman" w:cs="Times New Roman"/>
          <w:i/>
          <w:iCs/>
        </w:rPr>
        <w:t>Autonomous Sanctions (Designated</w:t>
      </w:r>
      <w:r w:rsidR="00C04362" w:rsidRPr="00270761">
        <w:rPr>
          <w:rFonts w:ascii="Times New Roman" w:hAnsi="Times New Roman" w:cs="Times New Roman"/>
          <w:i/>
          <w:iCs/>
        </w:rPr>
        <w:t xml:space="preserve"> Persons and Entities</w:t>
      </w:r>
      <w:r w:rsidRPr="00270761">
        <w:rPr>
          <w:rFonts w:ascii="Times New Roman" w:hAnsi="Times New Roman" w:cs="Times New Roman"/>
          <w:i/>
          <w:iCs/>
        </w:rPr>
        <w:t xml:space="preserve"> and Declared Persons</w:t>
      </w:r>
      <w:r w:rsidR="00497745" w:rsidRPr="00270761">
        <w:rPr>
          <w:iCs/>
        </w:rPr>
        <w:t>—</w:t>
      </w:r>
      <w:r w:rsidR="000A57BB" w:rsidRPr="00270761">
        <w:rPr>
          <w:i/>
        </w:rPr>
        <w:t>Russia and</w:t>
      </w:r>
      <w:r w:rsidR="000A57BB" w:rsidRPr="00270761">
        <w:rPr>
          <w:iCs/>
        </w:rPr>
        <w:t xml:space="preserve"> </w:t>
      </w:r>
      <w:r w:rsidRPr="00270761">
        <w:rPr>
          <w:rFonts w:ascii="Times New Roman" w:hAnsi="Times New Roman" w:cs="Times New Roman"/>
          <w:i/>
          <w:iCs/>
        </w:rPr>
        <w:t>Ukraine) Amendment</w:t>
      </w:r>
      <w:r w:rsidR="00C04362" w:rsidRPr="00270761">
        <w:rPr>
          <w:rFonts w:ascii="Times New Roman" w:hAnsi="Times New Roman" w:cs="Times New Roman"/>
          <w:i/>
          <w:iCs/>
        </w:rPr>
        <w:t xml:space="preserve"> (No</w:t>
      </w:r>
      <w:r w:rsidR="003F6FF5" w:rsidRPr="00270761">
        <w:rPr>
          <w:rFonts w:ascii="Times New Roman" w:hAnsi="Times New Roman" w:cs="Times New Roman"/>
          <w:i/>
          <w:iCs/>
        </w:rPr>
        <w:t>.</w:t>
      </w:r>
      <w:r w:rsidR="00C04362" w:rsidRPr="00270761">
        <w:rPr>
          <w:rFonts w:ascii="Times New Roman" w:hAnsi="Times New Roman" w:cs="Times New Roman"/>
          <w:i/>
          <w:iCs/>
        </w:rPr>
        <w:t xml:space="preserve"> </w:t>
      </w:r>
      <w:r w:rsidR="00533187" w:rsidRPr="00270761">
        <w:rPr>
          <w:rFonts w:ascii="Times New Roman" w:hAnsi="Times New Roman" w:cs="Times New Roman"/>
          <w:i/>
          <w:iCs/>
        </w:rPr>
        <w:t>15</w:t>
      </w:r>
      <w:r w:rsidR="00C04362" w:rsidRPr="00270761">
        <w:rPr>
          <w:rFonts w:ascii="Times New Roman" w:hAnsi="Times New Roman" w:cs="Times New Roman"/>
          <w:i/>
          <w:iCs/>
        </w:rPr>
        <w:t>)</w:t>
      </w:r>
      <w:r w:rsidRPr="00270761">
        <w:rPr>
          <w:rFonts w:ascii="Times New Roman" w:hAnsi="Times New Roman" w:cs="Times New Roman"/>
          <w:i/>
          <w:iCs/>
        </w:rPr>
        <w:t xml:space="preserve"> </w:t>
      </w:r>
      <w:r w:rsidR="0028123C" w:rsidRPr="00270761">
        <w:rPr>
          <w:rFonts w:ascii="Times New Roman" w:hAnsi="Times New Roman" w:cs="Times New Roman"/>
          <w:i/>
          <w:iCs/>
        </w:rPr>
        <w:t>Instrument</w:t>
      </w:r>
      <w:r w:rsidR="0028123C" w:rsidRPr="00270761" w:rsidDel="00ED1E52">
        <w:rPr>
          <w:rFonts w:ascii="Times New Roman" w:hAnsi="Times New Roman" w:cs="Times New Roman"/>
          <w:i/>
          <w:iCs/>
        </w:rPr>
        <w:t xml:space="preserve"> </w:t>
      </w:r>
      <w:r w:rsidRPr="00270761">
        <w:rPr>
          <w:rFonts w:ascii="Times New Roman" w:hAnsi="Times New Roman" w:cs="Times New Roman"/>
          <w:i/>
          <w:iCs/>
        </w:rPr>
        <w:t>202</w:t>
      </w:r>
      <w:r w:rsidR="00C855C7" w:rsidRPr="00270761">
        <w:rPr>
          <w:rFonts w:ascii="Times New Roman" w:hAnsi="Times New Roman" w:cs="Times New Roman"/>
          <w:i/>
          <w:iCs/>
        </w:rPr>
        <w:t>2</w:t>
      </w:r>
    </w:p>
    <w:p w14:paraId="37E9063C" w14:textId="77777777" w:rsidR="00F52143" w:rsidRPr="00270761" w:rsidRDefault="00F52143" w:rsidP="00F52143">
      <w:pPr>
        <w:widowControl/>
        <w:rPr>
          <w:rFonts w:ascii="Times New Roman" w:hAnsi="Times New Roman" w:cs="Times New Roman"/>
          <w:i/>
          <w:iCs/>
        </w:rPr>
      </w:pPr>
    </w:p>
    <w:p w14:paraId="01A10D6F" w14:textId="77777777" w:rsidR="00F52143" w:rsidRPr="00270761" w:rsidRDefault="00F52143" w:rsidP="00F52143">
      <w:pPr>
        <w:widowControl/>
        <w:rPr>
          <w:rFonts w:ascii="Times New Roman" w:hAnsi="Times New Roman" w:cs="Times New Roman"/>
          <w:iCs/>
          <w:u w:val="single"/>
        </w:rPr>
      </w:pPr>
      <w:r w:rsidRPr="00270761">
        <w:rPr>
          <w:rFonts w:ascii="Times New Roman" w:hAnsi="Times New Roman" w:cs="Times New Roman"/>
          <w:iCs/>
          <w:u w:val="single"/>
        </w:rPr>
        <w:t>Section 1</w:t>
      </w:r>
    </w:p>
    <w:p w14:paraId="1A8D0270" w14:textId="71B6158F" w:rsidR="00F52143" w:rsidRPr="00270761" w:rsidRDefault="00F52143" w:rsidP="00F52143">
      <w:pPr>
        <w:widowControl/>
      </w:pPr>
      <w:r w:rsidRPr="00270761">
        <w:t xml:space="preserve">The title of the instrument is the </w:t>
      </w:r>
      <w:r w:rsidRPr="00270761">
        <w:rPr>
          <w:rFonts w:ascii="Times New Roman" w:hAnsi="Times New Roman" w:cs="Times New Roman"/>
          <w:i/>
          <w:iCs/>
        </w:rPr>
        <w:t>Autonomous Sanctions (Designated</w:t>
      </w:r>
      <w:r w:rsidR="00C04362" w:rsidRPr="00270761">
        <w:rPr>
          <w:rFonts w:ascii="Times New Roman" w:hAnsi="Times New Roman" w:cs="Times New Roman"/>
          <w:i/>
          <w:iCs/>
        </w:rPr>
        <w:t xml:space="preserve"> Persons and Entities</w:t>
      </w:r>
      <w:r w:rsidRPr="00270761">
        <w:rPr>
          <w:rFonts w:ascii="Times New Roman" w:hAnsi="Times New Roman" w:cs="Times New Roman"/>
          <w:i/>
          <w:iCs/>
        </w:rPr>
        <w:t xml:space="preserve"> and Declared Persons</w:t>
      </w:r>
      <w:r w:rsidR="00497745" w:rsidRPr="00270761">
        <w:rPr>
          <w:iCs/>
        </w:rPr>
        <w:t>—</w:t>
      </w:r>
      <w:r w:rsidR="000A57BB" w:rsidRPr="00270761">
        <w:rPr>
          <w:i/>
        </w:rPr>
        <w:t>Russia and</w:t>
      </w:r>
      <w:r w:rsidR="000A57BB" w:rsidRPr="00270761">
        <w:rPr>
          <w:iCs/>
        </w:rPr>
        <w:t xml:space="preserve"> </w:t>
      </w:r>
      <w:r w:rsidRPr="00270761">
        <w:rPr>
          <w:rFonts w:ascii="Times New Roman" w:hAnsi="Times New Roman" w:cs="Times New Roman"/>
          <w:i/>
          <w:iCs/>
        </w:rPr>
        <w:t>Ukraine) Amendment</w:t>
      </w:r>
      <w:r w:rsidR="00C04362" w:rsidRPr="00270761">
        <w:rPr>
          <w:rFonts w:ascii="Times New Roman" w:hAnsi="Times New Roman" w:cs="Times New Roman"/>
          <w:i/>
          <w:iCs/>
        </w:rPr>
        <w:t xml:space="preserve"> (No</w:t>
      </w:r>
      <w:r w:rsidR="003F6FF5" w:rsidRPr="00270761">
        <w:rPr>
          <w:rFonts w:ascii="Times New Roman" w:hAnsi="Times New Roman" w:cs="Times New Roman"/>
          <w:i/>
          <w:iCs/>
        </w:rPr>
        <w:t>.</w:t>
      </w:r>
      <w:r w:rsidR="00C04362" w:rsidRPr="00270761">
        <w:rPr>
          <w:rFonts w:ascii="Times New Roman" w:hAnsi="Times New Roman" w:cs="Times New Roman"/>
          <w:i/>
          <w:iCs/>
        </w:rPr>
        <w:t xml:space="preserve"> </w:t>
      </w:r>
      <w:r w:rsidR="00533187" w:rsidRPr="00270761">
        <w:rPr>
          <w:rFonts w:ascii="Times New Roman" w:hAnsi="Times New Roman" w:cs="Times New Roman"/>
          <w:i/>
          <w:iCs/>
        </w:rPr>
        <w:t>15</w:t>
      </w:r>
      <w:r w:rsidR="00C04362" w:rsidRPr="00270761">
        <w:rPr>
          <w:rFonts w:ascii="Times New Roman" w:hAnsi="Times New Roman" w:cs="Times New Roman"/>
          <w:i/>
          <w:iCs/>
        </w:rPr>
        <w:t>)</w:t>
      </w:r>
      <w:r w:rsidRPr="00270761">
        <w:rPr>
          <w:rFonts w:ascii="Times New Roman" w:hAnsi="Times New Roman" w:cs="Times New Roman"/>
          <w:i/>
          <w:iCs/>
        </w:rPr>
        <w:t xml:space="preserve"> </w:t>
      </w:r>
      <w:r w:rsidR="0028123C" w:rsidRPr="00270761">
        <w:rPr>
          <w:rFonts w:ascii="Times New Roman" w:hAnsi="Times New Roman" w:cs="Times New Roman"/>
          <w:i/>
          <w:iCs/>
        </w:rPr>
        <w:t>Instrument</w:t>
      </w:r>
      <w:r w:rsidR="009A5902" w:rsidRPr="00270761">
        <w:rPr>
          <w:rFonts w:ascii="Times New Roman" w:hAnsi="Times New Roman" w:cs="Times New Roman"/>
          <w:i/>
          <w:iCs/>
        </w:rPr>
        <w:t xml:space="preserve"> </w:t>
      </w:r>
      <w:r w:rsidRPr="00270761">
        <w:rPr>
          <w:rFonts w:ascii="Times New Roman" w:hAnsi="Times New Roman" w:cs="Times New Roman"/>
          <w:i/>
          <w:iCs/>
        </w:rPr>
        <w:t>202</w:t>
      </w:r>
      <w:r w:rsidR="008E3290" w:rsidRPr="00270761">
        <w:rPr>
          <w:rFonts w:ascii="Times New Roman" w:hAnsi="Times New Roman" w:cs="Times New Roman"/>
          <w:i/>
          <w:iCs/>
        </w:rPr>
        <w:t>2</w:t>
      </w:r>
      <w:r w:rsidR="00EE2DBC" w:rsidRPr="00270761">
        <w:rPr>
          <w:rFonts w:ascii="Times New Roman" w:hAnsi="Times New Roman" w:cs="Times New Roman"/>
          <w:i/>
          <w:iCs/>
        </w:rPr>
        <w:t xml:space="preserve"> </w:t>
      </w:r>
      <w:r w:rsidR="00EE2DBC" w:rsidRPr="00270761">
        <w:rPr>
          <w:rFonts w:ascii="Times New Roman" w:hAnsi="Times New Roman" w:cs="Times New Roman"/>
        </w:rPr>
        <w:t xml:space="preserve">(the Instrument). </w:t>
      </w:r>
    </w:p>
    <w:p w14:paraId="2EA3557C" w14:textId="77777777" w:rsidR="00F52143" w:rsidRPr="00270761" w:rsidRDefault="00F52143" w:rsidP="00F52143">
      <w:pPr>
        <w:widowControl/>
      </w:pPr>
    </w:p>
    <w:p w14:paraId="4B13505F" w14:textId="77777777" w:rsidR="00F52143" w:rsidRPr="00270761" w:rsidRDefault="00F52143" w:rsidP="00F52143">
      <w:pPr>
        <w:widowControl/>
        <w:rPr>
          <w:u w:val="single"/>
        </w:rPr>
      </w:pPr>
      <w:r w:rsidRPr="00270761">
        <w:rPr>
          <w:u w:val="single"/>
        </w:rPr>
        <w:t>Section 2</w:t>
      </w:r>
    </w:p>
    <w:p w14:paraId="3EFF384C" w14:textId="7AF2F963" w:rsidR="00F52143" w:rsidRPr="00270761" w:rsidRDefault="00F52143" w:rsidP="00F52143">
      <w:pPr>
        <w:widowControl/>
      </w:pPr>
      <w:r w:rsidRPr="00270761">
        <w:t xml:space="preserve">The </w:t>
      </w:r>
      <w:r w:rsidR="00376EB9" w:rsidRPr="00270761">
        <w:t>I</w:t>
      </w:r>
      <w:r w:rsidRPr="00270761">
        <w:t>nstrument commences the day after it is registered.</w:t>
      </w:r>
    </w:p>
    <w:p w14:paraId="601F8D6E" w14:textId="77777777" w:rsidR="00F52143" w:rsidRPr="00270761" w:rsidRDefault="00F52143" w:rsidP="00F52143">
      <w:pPr>
        <w:widowControl/>
      </w:pPr>
    </w:p>
    <w:p w14:paraId="35819C4A" w14:textId="77777777" w:rsidR="00F52143" w:rsidRPr="00270761" w:rsidRDefault="00F52143" w:rsidP="00F52143">
      <w:pPr>
        <w:widowControl/>
        <w:rPr>
          <w:u w:val="single"/>
        </w:rPr>
      </w:pPr>
      <w:r w:rsidRPr="00270761">
        <w:rPr>
          <w:u w:val="single"/>
        </w:rPr>
        <w:t>Section 3</w:t>
      </w:r>
    </w:p>
    <w:p w14:paraId="485588DE" w14:textId="26AF0667" w:rsidR="00F52143" w:rsidRPr="00270761" w:rsidRDefault="00F52143" w:rsidP="00F52143">
      <w:pPr>
        <w:widowControl/>
      </w:pPr>
      <w:r w:rsidRPr="00270761">
        <w:t xml:space="preserve">The </w:t>
      </w:r>
      <w:r w:rsidR="00376EB9" w:rsidRPr="00270761">
        <w:t>I</w:t>
      </w:r>
      <w:r w:rsidRPr="00270761">
        <w:t xml:space="preserve">nstrument is made under </w:t>
      </w:r>
      <w:r w:rsidR="00497745" w:rsidRPr="00270761">
        <w:t>paragraph</w:t>
      </w:r>
      <w:r w:rsidR="0085188E" w:rsidRPr="00270761">
        <w:t>s</w:t>
      </w:r>
      <w:r w:rsidR="00497745" w:rsidRPr="00270761">
        <w:t xml:space="preserve"> </w:t>
      </w:r>
      <w:r w:rsidRPr="00270761">
        <w:t>6</w:t>
      </w:r>
      <w:r w:rsidR="00497745" w:rsidRPr="00270761">
        <w:t>(a)</w:t>
      </w:r>
      <w:r w:rsidR="0085188E" w:rsidRPr="00270761">
        <w:t xml:space="preserve"> and (b) </w:t>
      </w:r>
      <w:r w:rsidRPr="00270761">
        <w:t xml:space="preserve">of the </w:t>
      </w:r>
      <w:r w:rsidRPr="00270761">
        <w:rPr>
          <w:i/>
        </w:rPr>
        <w:t>Autonomous Sanctions Regulations 2011</w:t>
      </w:r>
      <w:r w:rsidR="00DF1448" w:rsidRPr="00270761">
        <w:rPr>
          <w:iCs/>
        </w:rPr>
        <w:t>, read with subsection 33(3) of the Acts Interpretation Act</w:t>
      </w:r>
      <w:r w:rsidRPr="00270761">
        <w:rPr>
          <w:iCs/>
        </w:rPr>
        <w:t>.</w:t>
      </w:r>
      <w:r w:rsidRPr="00270761">
        <w:t xml:space="preserve"> </w:t>
      </w:r>
    </w:p>
    <w:p w14:paraId="553B84D2" w14:textId="77777777" w:rsidR="00BA4ED6" w:rsidRPr="00270761" w:rsidRDefault="00BA4ED6" w:rsidP="00BA4ED6">
      <w:pPr>
        <w:shd w:val="clear" w:color="auto" w:fill="FFFFFF"/>
        <w:rPr>
          <w:rFonts w:ascii="Times New Roman" w:hAnsi="Times New Roman" w:cs="Times New Roman"/>
          <w:lang w:eastAsia="en-AU"/>
        </w:rPr>
      </w:pPr>
    </w:p>
    <w:p w14:paraId="0AC49635" w14:textId="49252900" w:rsidR="002D2B78" w:rsidRPr="00270761" w:rsidRDefault="002D2B78" w:rsidP="00F52143">
      <w:pPr>
        <w:widowControl/>
        <w:rPr>
          <w:u w:val="single"/>
        </w:rPr>
      </w:pPr>
      <w:r w:rsidRPr="00270761">
        <w:rPr>
          <w:u w:val="single"/>
        </w:rPr>
        <w:t>Section 4</w:t>
      </w:r>
    </w:p>
    <w:p w14:paraId="32DD7173" w14:textId="0FE6069B" w:rsidR="002D2B78" w:rsidRPr="00270761" w:rsidRDefault="002D2B78" w:rsidP="00F52143">
      <w:pPr>
        <w:widowControl/>
      </w:pPr>
      <w:r w:rsidRPr="00270761">
        <w:t xml:space="preserve">Each instrument that is specified in a Schedule to this </w:t>
      </w:r>
      <w:r w:rsidR="00F0346F" w:rsidRPr="00270761">
        <w:t>I</w:t>
      </w:r>
      <w:r w:rsidRPr="00270761">
        <w:t xml:space="preserve">nstrument is amended or repealed as set out in the applicable items in the Schedule concerned, and any other item in a Schedule to this </w:t>
      </w:r>
      <w:r w:rsidR="00F0346F" w:rsidRPr="00270761">
        <w:t>I</w:t>
      </w:r>
      <w:r w:rsidRPr="00270761">
        <w:t>nstrument has effect according to its terms.</w:t>
      </w:r>
    </w:p>
    <w:p w14:paraId="14707927" w14:textId="77777777" w:rsidR="00F52143" w:rsidRPr="00270761" w:rsidRDefault="00F52143" w:rsidP="00F52143">
      <w:pPr>
        <w:widowControl/>
      </w:pPr>
    </w:p>
    <w:p w14:paraId="39E4921A" w14:textId="6274D1A4" w:rsidR="00F52143" w:rsidRPr="00270761" w:rsidRDefault="00094305" w:rsidP="00F52143">
      <w:pPr>
        <w:widowControl/>
        <w:rPr>
          <w:u w:val="single"/>
        </w:rPr>
      </w:pPr>
      <w:r w:rsidRPr="00270761">
        <w:rPr>
          <w:u w:val="single"/>
        </w:rPr>
        <w:t>Schedule 1</w:t>
      </w:r>
    </w:p>
    <w:p w14:paraId="369B7CE3" w14:textId="2F7F8A8C" w:rsidR="002D2B78" w:rsidRPr="00270761" w:rsidRDefault="002D2B78" w:rsidP="00F52143">
      <w:pPr>
        <w:widowControl/>
        <w:rPr>
          <w:u w:val="single"/>
        </w:rPr>
      </w:pPr>
    </w:p>
    <w:p w14:paraId="4AF2E47E" w14:textId="3C0C2B03" w:rsidR="00C02A6F" w:rsidRPr="00270761" w:rsidRDefault="00C02A6F" w:rsidP="00F52143">
      <w:pPr>
        <w:widowControl/>
        <w:rPr>
          <w:i/>
          <w:iCs/>
        </w:rPr>
      </w:pPr>
      <w:r w:rsidRPr="00270761">
        <w:rPr>
          <w:i/>
          <w:iCs/>
        </w:rPr>
        <w:t>Autonomous Sanctions (</w:t>
      </w:r>
      <w:r w:rsidR="00103D57" w:rsidRPr="00270761">
        <w:rPr>
          <w:i/>
          <w:iCs/>
        </w:rPr>
        <w:t>Designated</w:t>
      </w:r>
      <w:r w:rsidRPr="00270761">
        <w:rPr>
          <w:i/>
          <w:iCs/>
        </w:rPr>
        <w:t xml:space="preserve"> Persons and Entities and Declared Persons </w:t>
      </w:r>
      <w:r w:rsidR="00103D57" w:rsidRPr="00270761">
        <w:rPr>
          <w:i/>
          <w:iCs/>
        </w:rPr>
        <w:t>–</w:t>
      </w:r>
      <w:r w:rsidRPr="00270761">
        <w:rPr>
          <w:i/>
          <w:iCs/>
        </w:rPr>
        <w:t xml:space="preserve"> </w:t>
      </w:r>
      <w:r w:rsidR="000A57BB" w:rsidRPr="00270761">
        <w:rPr>
          <w:i/>
          <w:iCs/>
        </w:rPr>
        <w:t xml:space="preserve">Russia and </w:t>
      </w:r>
      <w:r w:rsidRPr="00270761">
        <w:rPr>
          <w:i/>
          <w:iCs/>
        </w:rPr>
        <w:t>Ukr</w:t>
      </w:r>
      <w:r w:rsidR="00103D57" w:rsidRPr="00270761">
        <w:rPr>
          <w:i/>
          <w:iCs/>
        </w:rPr>
        <w:t>aine) List 2014</w:t>
      </w:r>
    </w:p>
    <w:p w14:paraId="3DF5F464" w14:textId="77777777" w:rsidR="00103D57" w:rsidRPr="00270761" w:rsidRDefault="00103D57" w:rsidP="00F52143">
      <w:pPr>
        <w:widowControl/>
        <w:rPr>
          <w:u w:val="single"/>
        </w:rPr>
      </w:pPr>
    </w:p>
    <w:p w14:paraId="41D35F96" w14:textId="043E7C2E" w:rsidR="00CD3A09" w:rsidRPr="00270761" w:rsidRDefault="00BA4ED6" w:rsidP="005042F1">
      <w:pPr>
        <w:widowControl/>
        <w:rPr>
          <w:u w:val="single"/>
        </w:rPr>
      </w:pPr>
      <w:bookmarkStart w:id="0" w:name="_Hlk100324915"/>
      <w:r w:rsidRPr="00270761">
        <w:rPr>
          <w:u w:val="single"/>
        </w:rPr>
        <w:t xml:space="preserve">Items 1 to </w:t>
      </w:r>
      <w:r w:rsidR="00533187" w:rsidRPr="00270761">
        <w:rPr>
          <w:u w:val="single"/>
        </w:rPr>
        <w:t xml:space="preserve">13 </w:t>
      </w:r>
    </w:p>
    <w:p w14:paraId="0D5F2880" w14:textId="069816EB" w:rsidR="008F10DB" w:rsidRPr="00270761" w:rsidRDefault="008F10DB" w:rsidP="008F10DB">
      <w:pPr>
        <w:widowControl/>
      </w:pPr>
      <w:r w:rsidRPr="00270761">
        <w:t xml:space="preserve">Items 1 to </w:t>
      </w:r>
      <w:r w:rsidR="00533187" w:rsidRPr="00270761">
        <w:t xml:space="preserve">13 </w:t>
      </w:r>
      <w:r w:rsidRPr="00270761">
        <w:t xml:space="preserve">amend certain items of the table in Part 1 of Schedule 1 of the </w:t>
      </w:r>
      <w:r w:rsidR="001F5B47" w:rsidRPr="00270761">
        <w:rPr>
          <w:i/>
          <w:iCs/>
        </w:rPr>
        <w:t>Autonomous Sanctions (Designated Persons and Entities and Declared Persons – Russia and Ukraine) List 2014</w:t>
      </w:r>
      <w:r w:rsidR="001F5B47" w:rsidRPr="00270761">
        <w:t xml:space="preserve"> (the </w:t>
      </w:r>
      <w:r w:rsidR="005E785E" w:rsidRPr="00270761">
        <w:t>2014</w:t>
      </w:r>
      <w:r w:rsidR="001F5B47" w:rsidRPr="00270761">
        <w:t xml:space="preserve"> List) </w:t>
      </w:r>
      <w:r w:rsidRPr="00270761">
        <w:t xml:space="preserve">to </w:t>
      </w:r>
      <w:r w:rsidR="009F133E" w:rsidRPr="00270761">
        <w:t>correct</w:t>
      </w:r>
      <w:r w:rsidR="00AA74FF" w:rsidRPr="00270761">
        <w:t xml:space="preserve"> the</w:t>
      </w:r>
      <w:r w:rsidR="009F133E" w:rsidRPr="00270761">
        <w:t xml:space="preserve"> </w:t>
      </w:r>
      <w:r w:rsidRPr="00270761">
        <w:t xml:space="preserve">names of persons listed by the Minister for the purposes of targeted financial sanctions and travel bans are set out in the </w:t>
      </w:r>
      <w:r w:rsidR="00F0346F" w:rsidRPr="00270761">
        <w:t>I</w:t>
      </w:r>
      <w:r w:rsidRPr="00270761">
        <w:t xml:space="preserve">nstrument. </w:t>
      </w:r>
    </w:p>
    <w:p w14:paraId="11436878" w14:textId="77777777" w:rsidR="008F10DB" w:rsidRPr="00270761" w:rsidRDefault="008F10DB" w:rsidP="005042F1">
      <w:pPr>
        <w:widowControl/>
      </w:pPr>
    </w:p>
    <w:bookmarkEnd w:id="0"/>
    <w:p w14:paraId="44301D2D" w14:textId="6C2E9BA4" w:rsidR="004730D3" w:rsidRPr="00270761" w:rsidRDefault="004730D3" w:rsidP="00D000D9">
      <w:pPr>
        <w:rPr>
          <w:u w:val="single"/>
        </w:rPr>
      </w:pPr>
      <w:r w:rsidRPr="00270761">
        <w:rPr>
          <w:u w:val="single"/>
        </w:rPr>
        <w:t xml:space="preserve">Item </w:t>
      </w:r>
      <w:r w:rsidR="00533187" w:rsidRPr="00270761">
        <w:rPr>
          <w:u w:val="single"/>
        </w:rPr>
        <w:t xml:space="preserve">14 </w:t>
      </w:r>
    </w:p>
    <w:p w14:paraId="30B6FE81" w14:textId="190A07E6" w:rsidR="004948B6" w:rsidRPr="00270761" w:rsidRDefault="00533187" w:rsidP="00F52143">
      <w:pPr>
        <w:widowControl/>
      </w:pPr>
      <w:r w:rsidRPr="00270761">
        <w:t>Item 14</w:t>
      </w:r>
      <w:r w:rsidR="002A488E" w:rsidRPr="00270761">
        <w:t xml:space="preserve"> is a technical amendment to ensure that the instrument of first designation and declaration that is </w:t>
      </w:r>
      <w:r w:rsidR="00013BBE" w:rsidRPr="00270761">
        <w:t>referred to</w:t>
      </w:r>
      <w:r w:rsidR="002A488E" w:rsidRPr="00270761">
        <w:t xml:space="preserve"> in table items </w:t>
      </w:r>
      <w:r w:rsidR="00013BBE" w:rsidRPr="00270761">
        <w:t xml:space="preserve">553 to 571 of </w:t>
      </w:r>
      <w:r w:rsidR="00CB6230" w:rsidRPr="00270761">
        <w:t xml:space="preserve">Part 1 of Schedule 1 of </w:t>
      </w:r>
      <w:r w:rsidR="00013BBE" w:rsidRPr="00270761">
        <w:t xml:space="preserve">the </w:t>
      </w:r>
      <w:r w:rsidR="001F5B47" w:rsidRPr="00270761">
        <w:t>Russia and Ukraine List</w:t>
      </w:r>
      <w:r w:rsidR="00013BBE" w:rsidRPr="00270761">
        <w:t xml:space="preserve"> reflects the correct title of the instrument that imposed the sanctions</w:t>
      </w:r>
      <w:r w:rsidR="00AA74FF" w:rsidRPr="00270761">
        <w:t xml:space="preserve"> relevant to those items</w:t>
      </w:r>
      <w:r w:rsidR="00013BBE" w:rsidRPr="00270761">
        <w:t xml:space="preserve"> (</w:t>
      </w:r>
      <w:proofErr w:type="spellStart"/>
      <w:r w:rsidR="00013BBE" w:rsidRPr="00270761">
        <w:t>i.e</w:t>
      </w:r>
      <w:proofErr w:type="spellEnd"/>
      <w:r w:rsidR="00013BBE" w:rsidRPr="00270761">
        <w:t xml:space="preserve"> </w:t>
      </w:r>
      <w:r w:rsidR="00013BBE" w:rsidRPr="00270761">
        <w:rPr>
          <w:i/>
          <w:iCs/>
        </w:rPr>
        <w:t>Autonomous Sanctions (Designated Persons and Entities and Declared Persons—Russia and Ukraine) Amendment (No.10) Instrument 2022</w:t>
      </w:r>
      <w:r w:rsidR="00013BBE" w:rsidRPr="00270761">
        <w:t xml:space="preserve">). </w:t>
      </w:r>
    </w:p>
    <w:p w14:paraId="1F8F4EE7" w14:textId="57D2A6F1" w:rsidR="00013BBE" w:rsidRPr="00270761" w:rsidRDefault="00013BBE" w:rsidP="00F52143">
      <w:pPr>
        <w:widowControl/>
      </w:pPr>
    </w:p>
    <w:p w14:paraId="475B6024" w14:textId="5315E5DA" w:rsidR="00013BBE" w:rsidRPr="00270761" w:rsidRDefault="00013BBE" w:rsidP="00F52143">
      <w:pPr>
        <w:widowControl/>
        <w:rPr>
          <w:u w:val="single"/>
        </w:rPr>
      </w:pPr>
      <w:r w:rsidRPr="00270761">
        <w:rPr>
          <w:u w:val="single"/>
        </w:rPr>
        <w:t xml:space="preserve">Item 15 </w:t>
      </w:r>
    </w:p>
    <w:p w14:paraId="774D1963" w14:textId="66DC8286" w:rsidR="00013BBE" w:rsidRPr="00270761" w:rsidRDefault="00013BBE" w:rsidP="00013BBE">
      <w:pPr>
        <w:widowControl/>
      </w:pPr>
      <w:r w:rsidRPr="00270761">
        <w:t>Item 15 is a technical amendment to ensure that the instrument of first designation and declaration that is referred to in table items 5</w:t>
      </w:r>
      <w:r w:rsidR="00CB6230" w:rsidRPr="00270761">
        <w:t>72</w:t>
      </w:r>
      <w:r w:rsidRPr="00270761">
        <w:t xml:space="preserve"> to 57</w:t>
      </w:r>
      <w:r w:rsidR="00CB6230" w:rsidRPr="00270761">
        <w:t>7</w:t>
      </w:r>
      <w:r w:rsidRPr="00270761">
        <w:t xml:space="preserve"> of</w:t>
      </w:r>
      <w:r w:rsidR="00CB6230" w:rsidRPr="00270761">
        <w:t xml:space="preserve"> Part 1 of Schedule 1 of</w:t>
      </w:r>
      <w:r w:rsidRPr="00270761">
        <w:t xml:space="preserve"> the </w:t>
      </w:r>
      <w:r w:rsidR="005E785E" w:rsidRPr="00270761">
        <w:t>2014</w:t>
      </w:r>
      <w:r w:rsidR="001F5B47" w:rsidRPr="00270761">
        <w:t xml:space="preserve"> List </w:t>
      </w:r>
      <w:r w:rsidRPr="00270761">
        <w:t>reflects the correct title of the instrument that imposed the sanctions</w:t>
      </w:r>
      <w:r w:rsidR="00AA74FF" w:rsidRPr="00270761">
        <w:t xml:space="preserve"> relevant to those items</w:t>
      </w:r>
      <w:r w:rsidRPr="00270761">
        <w:t xml:space="preserve"> (</w:t>
      </w:r>
      <w:proofErr w:type="spellStart"/>
      <w:r w:rsidRPr="00270761">
        <w:t>i.e</w:t>
      </w:r>
      <w:proofErr w:type="spellEnd"/>
      <w:r w:rsidRPr="00270761">
        <w:t xml:space="preserve"> </w:t>
      </w:r>
      <w:r w:rsidRPr="00270761">
        <w:rPr>
          <w:i/>
          <w:iCs/>
        </w:rPr>
        <w:t>Autonomous Sanctions (Designated Persons and Entities and Declared Persons—Russia and Ukraine) Amendment (No.1</w:t>
      </w:r>
      <w:r w:rsidR="00CB6230" w:rsidRPr="00270761">
        <w:rPr>
          <w:i/>
          <w:iCs/>
        </w:rPr>
        <w:t>1</w:t>
      </w:r>
      <w:r w:rsidRPr="00270761">
        <w:rPr>
          <w:i/>
          <w:iCs/>
        </w:rPr>
        <w:t>) Instrument 2022</w:t>
      </w:r>
      <w:r w:rsidRPr="00270761">
        <w:t xml:space="preserve">). </w:t>
      </w:r>
    </w:p>
    <w:p w14:paraId="6A11B45A" w14:textId="1C9D2283" w:rsidR="00013BBE" w:rsidRPr="00270761" w:rsidRDefault="00013BBE" w:rsidP="00F52143">
      <w:pPr>
        <w:widowControl/>
      </w:pPr>
    </w:p>
    <w:p w14:paraId="5341C2FF" w14:textId="77777777" w:rsidR="00FA0B0F" w:rsidRPr="00270761" w:rsidRDefault="00FA0B0F" w:rsidP="00F52143">
      <w:pPr>
        <w:widowControl/>
      </w:pPr>
    </w:p>
    <w:p w14:paraId="0808D9F1" w14:textId="0A1FBF08" w:rsidR="00CB6230" w:rsidRPr="00270761" w:rsidRDefault="00CB6230" w:rsidP="00F52143">
      <w:pPr>
        <w:widowControl/>
        <w:rPr>
          <w:u w:val="single"/>
        </w:rPr>
      </w:pPr>
      <w:r w:rsidRPr="00270761">
        <w:rPr>
          <w:u w:val="single"/>
        </w:rPr>
        <w:lastRenderedPageBreak/>
        <w:t>Item 16</w:t>
      </w:r>
    </w:p>
    <w:p w14:paraId="73C12620" w14:textId="411F96C5" w:rsidR="00010829" w:rsidRPr="00270761" w:rsidRDefault="00AC5698" w:rsidP="00010829">
      <w:pPr>
        <w:widowControl/>
        <w:rPr>
          <w:rFonts w:ascii="Times New Roman" w:hAnsi="Times New Roman" w:cs="Times New Roman"/>
          <w:color w:val="auto"/>
          <w:lang w:eastAsia="en-AU"/>
        </w:rPr>
      </w:pPr>
      <w:r w:rsidRPr="00270761">
        <w:rPr>
          <w:lang w:eastAsia="en-AU"/>
        </w:rPr>
        <w:t xml:space="preserve">The </w:t>
      </w:r>
      <w:r w:rsidR="00B8237E" w:rsidRPr="00270761">
        <w:rPr>
          <w:lang w:eastAsia="en-AU"/>
        </w:rPr>
        <w:t xml:space="preserve">75 </w:t>
      </w:r>
      <w:r w:rsidRPr="00270761">
        <w:rPr>
          <w:lang w:eastAsia="en-AU"/>
        </w:rPr>
        <w:t xml:space="preserve">persons listed in </w:t>
      </w:r>
      <w:r w:rsidR="00376EB9" w:rsidRPr="00270761">
        <w:rPr>
          <w:lang w:eastAsia="en-AU"/>
        </w:rPr>
        <w:t xml:space="preserve">item 16 of Schedule 1 of the Instrument </w:t>
      </w:r>
      <w:r w:rsidRPr="00270761">
        <w:rPr>
          <w:lang w:eastAsia="en-AU"/>
        </w:rPr>
        <w:t>are designated by the Minister for the purposes of paragraph 6(a) of the Regulations </w:t>
      </w:r>
      <w:r w:rsidRPr="00270761">
        <w:rPr>
          <w:shd w:val="clear" w:color="auto" w:fill="FFFFFF"/>
          <w:lang w:eastAsia="en-AU"/>
        </w:rPr>
        <w:t>and declared by the Minister for the purposes of paragraph 6(b) of the Regulations.</w:t>
      </w:r>
      <w:r w:rsidR="00376EB9" w:rsidRPr="00270761">
        <w:rPr>
          <w:shd w:val="clear" w:color="auto" w:fill="FFFFFF"/>
          <w:lang w:eastAsia="en-AU"/>
        </w:rPr>
        <w:t xml:space="preserve"> </w:t>
      </w:r>
      <w:r w:rsidR="00376EB9" w:rsidRPr="00270761">
        <w:rPr>
          <w:lang w:eastAsia="en-AU"/>
        </w:rPr>
        <w:t>These persons are all Members of the State Duma of the Federal Assembly of the Russian Federation who </w:t>
      </w:r>
      <w:r w:rsidR="00376EB9" w:rsidRPr="00270761">
        <w:rPr>
          <w:rFonts w:ascii="Times New Roman" w:hAnsi="Times New Roman" w:cs="Times New Roman"/>
          <w:lang w:eastAsia="en-AU"/>
        </w:rPr>
        <w:t>voted in favour of recognising the Ukrainian regions of Donetsk and Luhansk as independent republics</w:t>
      </w:r>
      <w:r w:rsidR="00010829" w:rsidRPr="00270761">
        <w:rPr>
          <w:rFonts w:ascii="Times New Roman" w:hAnsi="Times New Roman" w:cs="Times New Roman"/>
          <w:lang w:eastAsia="en-AU"/>
        </w:rPr>
        <w:t xml:space="preserve">, or who </w:t>
      </w:r>
      <w:r w:rsidR="00010829" w:rsidRPr="00270761">
        <w:t>voted to approve the Russian Government’s “Treaty of Friendship, Cooperation and Mutual Assistance between the Russian Federation and the Donetsk People's Republic and between the Russian Federation and the Luhansk People's Republic”.</w:t>
      </w:r>
      <w:r w:rsidR="00010829" w:rsidRPr="00270761">
        <w:rPr>
          <w:rFonts w:ascii="Times New Roman" w:hAnsi="Times New Roman" w:cs="Times New Roman"/>
          <w:lang w:eastAsia="en-AU"/>
        </w:rPr>
        <w:t xml:space="preserve"> </w:t>
      </w:r>
    </w:p>
    <w:p w14:paraId="69221531" w14:textId="2FD79D90" w:rsidR="00376EB9" w:rsidRPr="00270761" w:rsidRDefault="00376EB9" w:rsidP="00376EB9">
      <w:pPr>
        <w:widowControl/>
        <w:shd w:val="clear" w:color="auto" w:fill="FFFFFF"/>
        <w:rPr>
          <w:shd w:val="clear" w:color="auto" w:fill="FFFFFF"/>
          <w:lang w:eastAsia="en-AU"/>
        </w:rPr>
      </w:pPr>
    </w:p>
    <w:p w14:paraId="5B93E91E" w14:textId="1633CB89" w:rsidR="00376EB9" w:rsidRPr="00270761" w:rsidRDefault="00376EB9" w:rsidP="00376EB9">
      <w:pPr>
        <w:widowControl/>
        <w:shd w:val="clear" w:color="auto" w:fill="FFFFFF"/>
        <w:rPr>
          <w:lang w:eastAsia="en-AU"/>
        </w:rPr>
      </w:pPr>
      <w:r w:rsidRPr="00270761">
        <w:rPr>
          <w:shd w:val="clear" w:color="auto" w:fill="FFFFFF"/>
          <w:lang w:eastAsia="en-AU"/>
        </w:rPr>
        <w:t xml:space="preserve">The designations and declarations of persons listed in item 16 of Schedule 1 of the Instrument are made on the basis that </w:t>
      </w:r>
      <w:r w:rsidR="00010829" w:rsidRPr="00270761">
        <w:rPr>
          <w:shd w:val="clear" w:color="auto" w:fill="FFFFFF"/>
          <w:lang w:eastAsia="en-AU"/>
        </w:rPr>
        <w:t>each</w:t>
      </w:r>
      <w:r w:rsidRPr="00270761">
        <w:rPr>
          <w:shd w:val="clear" w:color="auto" w:fill="FFFFFF"/>
          <w:lang w:eastAsia="en-AU"/>
        </w:rPr>
        <w:t xml:space="preserve"> person</w:t>
      </w:r>
      <w:r w:rsidR="00FA0B0F" w:rsidRPr="00270761">
        <w:rPr>
          <w:shd w:val="clear" w:color="auto" w:fill="FFFFFF"/>
          <w:lang w:eastAsia="en-AU"/>
        </w:rPr>
        <w:t>, in taking action to</w:t>
      </w:r>
      <w:r w:rsidR="00FA0B0F" w:rsidRPr="00270761">
        <w:rPr>
          <w:lang w:eastAsia="en-AU"/>
        </w:rPr>
        <w:t xml:space="preserve"> recognise the</w:t>
      </w:r>
      <w:r w:rsidR="00FA0B0F" w:rsidRPr="00270761">
        <w:rPr>
          <w:rFonts w:ascii="Times New Roman" w:hAnsi="Times New Roman" w:cs="Times New Roman"/>
          <w:lang w:eastAsia="en-AU"/>
        </w:rPr>
        <w:t xml:space="preserve"> Ukrainian regions of Donetsk and Luhansk as independent republics,</w:t>
      </w:r>
      <w:r w:rsidR="00FA0B0F" w:rsidRPr="00270761">
        <w:rPr>
          <w:shd w:val="clear" w:color="auto" w:fill="FFFFFF"/>
          <w:lang w:eastAsia="en-AU"/>
        </w:rPr>
        <w:t xml:space="preserve"> </w:t>
      </w:r>
      <w:r w:rsidRPr="00270761">
        <w:rPr>
          <w:shd w:val="clear" w:color="auto" w:fill="FFFFFF"/>
          <w:lang w:eastAsia="en-AU"/>
        </w:rPr>
        <w:t>meets the criteria mentioned in item 9 of the table in regulation 6 of the Regulations, that is, they are a person that the Minister is satisfied is responsible for, or complicit in, the threat to the sovereignty and territorial integrity of Ukraine. </w:t>
      </w:r>
    </w:p>
    <w:p w14:paraId="1BFF1D9A" w14:textId="77777777" w:rsidR="00376EB9" w:rsidRPr="00270761" w:rsidRDefault="00376EB9" w:rsidP="00AC5698">
      <w:pPr>
        <w:widowControl/>
        <w:shd w:val="clear" w:color="auto" w:fill="FFFFFF"/>
        <w:rPr>
          <w:lang w:eastAsia="en-AU"/>
        </w:rPr>
      </w:pPr>
    </w:p>
    <w:p w14:paraId="1A5D4880" w14:textId="7364735A" w:rsidR="00CB6230" w:rsidRPr="00270761" w:rsidRDefault="00CB6230" w:rsidP="004D1A1F">
      <w:pPr>
        <w:widowControl/>
        <w:shd w:val="clear" w:color="auto" w:fill="FFFFFF"/>
        <w:rPr>
          <w:lang w:eastAsia="en-AU"/>
        </w:rPr>
      </w:pPr>
      <w:r w:rsidRPr="00270761">
        <w:rPr>
          <w:u w:val="single"/>
        </w:rPr>
        <w:t xml:space="preserve">Item 17 </w:t>
      </w:r>
    </w:p>
    <w:p w14:paraId="5D021F54" w14:textId="0A5A89A7" w:rsidR="00CB6230" w:rsidRPr="00270761" w:rsidRDefault="00CB6230" w:rsidP="00CB6230">
      <w:pPr>
        <w:widowControl/>
      </w:pPr>
      <w:r w:rsidRPr="00270761">
        <w:t xml:space="preserve">Item 17 is a technical amendment to ensure that the instrument of first designation and declaration that is referred to in table item 19 of Part 1 of Schedule 2 of the </w:t>
      </w:r>
      <w:r w:rsidR="001F5B47" w:rsidRPr="00270761">
        <w:t xml:space="preserve">Russia and Ukraine List </w:t>
      </w:r>
      <w:r w:rsidRPr="00270761">
        <w:t xml:space="preserve">reflects the correct title of the instrument that imposed the sanctions </w:t>
      </w:r>
      <w:r w:rsidR="00AA74FF" w:rsidRPr="00270761">
        <w:t xml:space="preserve">relevant to those items </w:t>
      </w:r>
      <w:r w:rsidRPr="00270761">
        <w:t>(</w:t>
      </w:r>
      <w:proofErr w:type="spellStart"/>
      <w:r w:rsidRPr="00270761">
        <w:t>i.e</w:t>
      </w:r>
      <w:proofErr w:type="spellEnd"/>
      <w:r w:rsidRPr="00270761">
        <w:t xml:space="preserve"> </w:t>
      </w:r>
      <w:r w:rsidRPr="00270761">
        <w:rPr>
          <w:i/>
          <w:iCs/>
        </w:rPr>
        <w:t>Autonomous Sanctions (Designated Persons and Entities and Declared Persons—Russia and Ukraine) Amendment (No.</w:t>
      </w:r>
      <w:r w:rsidR="009F133E" w:rsidRPr="00270761">
        <w:rPr>
          <w:i/>
          <w:iCs/>
        </w:rPr>
        <w:t>5</w:t>
      </w:r>
      <w:r w:rsidRPr="00270761">
        <w:rPr>
          <w:i/>
          <w:iCs/>
        </w:rPr>
        <w:t>) Instrument 2022</w:t>
      </w:r>
      <w:r w:rsidRPr="00270761">
        <w:t xml:space="preserve">). </w:t>
      </w:r>
    </w:p>
    <w:p w14:paraId="5BA4D166" w14:textId="77777777" w:rsidR="00CB6230" w:rsidRPr="00270761" w:rsidRDefault="00CB6230" w:rsidP="00F52143">
      <w:pPr>
        <w:widowControl/>
        <w:rPr>
          <w:u w:val="single"/>
        </w:rPr>
      </w:pPr>
    </w:p>
    <w:p w14:paraId="4D333EAC" w14:textId="60D7C1D1" w:rsidR="00497C5F" w:rsidRPr="00270761" w:rsidRDefault="00497C5F" w:rsidP="00F52143">
      <w:pPr>
        <w:widowControl/>
        <w:rPr>
          <w:u w:val="single"/>
        </w:rPr>
      </w:pPr>
      <w:r w:rsidRPr="00270761">
        <w:rPr>
          <w:u w:val="single"/>
        </w:rPr>
        <w:t xml:space="preserve">Item </w:t>
      </w:r>
      <w:r w:rsidR="00CB6230" w:rsidRPr="00270761">
        <w:rPr>
          <w:u w:val="single"/>
        </w:rPr>
        <w:t>18</w:t>
      </w:r>
      <w:r w:rsidR="008102C7" w:rsidRPr="00270761">
        <w:rPr>
          <w:u w:val="single"/>
        </w:rPr>
        <w:t xml:space="preserve"> </w:t>
      </w:r>
    </w:p>
    <w:p w14:paraId="7D9E3A25" w14:textId="0B0923D8" w:rsidR="00393322" w:rsidRPr="00270761" w:rsidRDefault="008102C7" w:rsidP="006A676E">
      <w:pPr>
        <w:widowControl/>
        <w:rPr>
          <w:i/>
          <w:iCs/>
        </w:rPr>
      </w:pPr>
      <w:r w:rsidRPr="00270761">
        <w:rPr>
          <w:shd w:val="clear" w:color="auto" w:fill="FFFFFF"/>
        </w:rPr>
        <w:t xml:space="preserve">Item </w:t>
      </w:r>
      <w:r w:rsidR="00CB6230" w:rsidRPr="00270761">
        <w:rPr>
          <w:shd w:val="clear" w:color="auto" w:fill="FFFFFF"/>
        </w:rPr>
        <w:t>18</w:t>
      </w:r>
      <w:r w:rsidR="00EE48C3" w:rsidRPr="00270761">
        <w:rPr>
          <w:shd w:val="clear" w:color="auto" w:fill="FFFFFF"/>
        </w:rPr>
        <w:t xml:space="preserve"> </w:t>
      </w:r>
      <w:r w:rsidR="001F5B47" w:rsidRPr="00270761">
        <w:rPr>
          <w:shd w:val="clear" w:color="auto" w:fill="FFFFFF"/>
        </w:rPr>
        <w:t>amends</w:t>
      </w:r>
      <w:r w:rsidR="00EE48C3" w:rsidRPr="00270761">
        <w:rPr>
          <w:shd w:val="clear" w:color="auto" w:fill="FFFFFF"/>
        </w:rPr>
        <w:t xml:space="preserve"> </w:t>
      </w:r>
      <w:r w:rsidR="001F5B47" w:rsidRPr="00270761">
        <w:t xml:space="preserve">the date and place of birth of </w:t>
      </w:r>
      <w:r w:rsidR="001F5B47" w:rsidRPr="00270761">
        <w:rPr>
          <w:shd w:val="clear" w:color="auto" w:fill="FFFFFF"/>
        </w:rPr>
        <w:t xml:space="preserve">Vladimir Solovyov in </w:t>
      </w:r>
      <w:r w:rsidR="00EE48C3" w:rsidRPr="00270761">
        <w:rPr>
          <w:shd w:val="clear" w:color="auto" w:fill="FFFFFF"/>
        </w:rPr>
        <w:t xml:space="preserve">item 20 of the </w:t>
      </w:r>
      <w:r w:rsidR="00647B6F" w:rsidRPr="00270761">
        <w:rPr>
          <w:shd w:val="clear" w:color="auto" w:fill="FFFFFF"/>
        </w:rPr>
        <w:t xml:space="preserve">table in Part 1 of Schedule 2 of the </w:t>
      </w:r>
      <w:r w:rsidR="001F5B47" w:rsidRPr="00270761">
        <w:t>Russia and Ukraine List</w:t>
      </w:r>
      <w:r w:rsidR="009F133E" w:rsidRPr="00270761">
        <w:t>. It also ensures that the instrument of first designation and declaration reflects the correct title of the instrument that imposed the sanctions</w:t>
      </w:r>
      <w:r w:rsidR="00AA74FF" w:rsidRPr="00270761">
        <w:t xml:space="preserve"> relevant to those items</w:t>
      </w:r>
      <w:r w:rsidR="009F133E" w:rsidRPr="00270761">
        <w:t xml:space="preserve"> (</w:t>
      </w:r>
      <w:proofErr w:type="spellStart"/>
      <w:r w:rsidR="009F133E" w:rsidRPr="00270761">
        <w:t>i.e</w:t>
      </w:r>
      <w:proofErr w:type="spellEnd"/>
      <w:r w:rsidR="009F133E" w:rsidRPr="00270761">
        <w:t xml:space="preserve"> </w:t>
      </w:r>
      <w:r w:rsidR="009F133E" w:rsidRPr="00270761">
        <w:rPr>
          <w:i/>
          <w:iCs/>
        </w:rPr>
        <w:t xml:space="preserve">Autonomous Sanctions (Designated Persons and Entities and Declared Persons—Russia and Ukraine) Amendment (No.5) Instrument 2022). </w:t>
      </w:r>
    </w:p>
    <w:p w14:paraId="41254248" w14:textId="4D6C8FE9" w:rsidR="009F133E" w:rsidRPr="00270761" w:rsidRDefault="009F133E" w:rsidP="006A676E">
      <w:pPr>
        <w:widowControl/>
        <w:rPr>
          <w:i/>
          <w:iCs/>
        </w:rPr>
      </w:pPr>
    </w:p>
    <w:p w14:paraId="462A5BBE" w14:textId="50336A2F" w:rsidR="009F133E" w:rsidRPr="00270761" w:rsidRDefault="009F133E" w:rsidP="009F133E">
      <w:pPr>
        <w:widowControl/>
        <w:rPr>
          <w:u w:val="single"/>
        </w:rPr>
      </w:pPr>
      <w:r w:rsidRPr="00270761">
        <w:rPr>
          <w:u w:val="single"/>
        </w:rPr>
        <w:t xml:space="preserve">Item 19 </w:t>
      </w:r>
    </w:p>
    <w:p w14:paraId="620E68FB" w14:textId="527AAC9D" w:rsidR="009F133E" w:rsidRPr="00270761" w:rsidRDefault="009F133E" w:rsidP="009F133E">
      <w:pPr>
        <w:widowControl/>
      </w:pPr>
      <w:r w:rsidRPr="00270761">
        <w:t>Item 19 is a technical amendment to ensure that the instrument of first designation and declaration that is referred to in table items 21 to 28 of Part 1 of Schedule 2 of the Russia and Ukraine List reflects the correct title of the instrument that imposed the sanctions</w:t>
      </w:r>
      <w:r w:rsidR="00AA74FF" w:rsidRPr="00270761">
        <w:t xml:space="preserve"> relevant to those items</w:t>
      </w:r>
      <w:r w:rsidRPr="00270761">
        <w:t xml:space="preserve"> (</w:t>
      </w:r>
      <w:proofErr w:type="spellStart"/>
      <w:r w:rsidRPr="00270761">
        <w:t>i.e</w:t>
      </w:r>
      <w:proofErr w:type="spellEnd"/>
      <w:r w:rsidRPr="00270761">
        <w:t xml:space="preserve"> </w:t>
      </w:r>
      <w:r w:rsidRPr="00270761">
        <w:rPr>
          <w:i/>
          <w:iCs/>
        </w:rPr>
        <w:t>Autonomous Sanctions (Designated Persons and Entities and Declared Persons—Russia and Ukraine) Amendment (No.5) Instrument 2022</w:t>
      </w:r>
      <w:r w:rsidRPr="00270761">
        <w:t xml:space="preserve">). </w:t>
      </w:r>
    </w:p>
    <w:p w14:paraId="4B7FB70D" w14:textId="334A0974" w:rsidR="00393322" w:rsidRPr="00270761" w:rsidRDefault="00393322" w:rsidP="00F52143">
      <w:pPr>
        <w:widowControl/>
        <w:rPr>
          <w:shd w:val="clear" w:color="auto" w:fill="FFFFFF"/>
        </w:rPr>
      </w:pPr>
    </w:p>
    <w:p w14:paraId="15CD1955" w14:textId="5F7D5F32" w:rsidR="009F133E" w:rsidRPr="00270761" w:rsidRDefault="009F133E" w:rsidP="009F133E">
      <w:pPr>
        <w:widowControl/>
        <w:rPr>
          <w:u w:val="single"/>
        </w:rPr>
      </w:pPr>
      <w:r w:rsidRPr="00270761">
        <w:rPr>
          <w:u w:val="single"/>
        </w:rPr>
        <w:t xml:space="preserve">Item 20 </w:t>
      </w:r>
    </w:p>
    <w:p w14:paraId="78519FCD" w14:textId="21F920F6" w:rsidR="009F133E" w:rsidRPr="00270761" w:rsidRDefault="009F133E" w:rsidP="009F133E">
      <w:pPr>
        <w:widowControl/>
      </w:pPr>
      <w:r w:rsidRPr="00270761">
        <w:t>Item 20 is a technical amendment to ensure that the instrument of first designation and declaration that is referred to in table items 64 to 85 of Part 1 of Schedule 2 of the Russia and Ukraine List reflects the correct title of the instrument that imposed the sanctions</w:t>
      </w:r>
      <w:r w:rsidR="00AA74FF" w:rsidRPr="00270761">
        <w:t xml:space="preserve"> relevant to those items</w:t>
      </w:r>
      <w:r w:rsidRPr="00270761">
        <w:t xml:space="preserve"> (</w:t>
      </w:r>
      <w:proofErr w:type="spellStart"/>
      <w:r w:rsidRPr="00270761">
        <w:t>i.e</w:t>
      </w:r>
      <w:proofErr w:type="spellEnd"/>
      <w:r w:rsidRPr="00270761">
        <w:t xml:space="preserve"> </w:t>
      </w:r>
      <w:r w:rsidRPr="00270761">
        <w:rPr>
          <w:i/>
          <w:iCs/>
        </w:rPr>
        <w:t>Autonomous Sanctions (Designated Persons and Entities and Declared Persons—Russia and Ukraine) Amendment (No.9) Instrument 2022</w:t>
      </w:r>
      <w:r w:rsidRPr="00270761">
        <w:t xml:space="preserve">). </w:t>
      </w:r>
    </w:p>
    <w:p w14:paraId="3A597AE9" w14:textId="7ADE561C" w:rsidR="009F133E" w:rsidRPr="00270761" w:rsidRDefault="009F133E" w:rsidP="00F52143">
      <w:pPr>
        <w:widowControl/>
        <w:rPr>
          <w:shd w:val="clear" w:color="auto" w:fill="FFFFFF"/>
        </w:rPr>
      </w:pPr>
    </w:p>
    <w:p w14:paraId="5FEFD459" w14:textId="77777777" w:rsidR="00A14480" w:rsidRPr="00270761" w:rsidRDefault="00A14480" w:rsidP="00AA74FF">
      <w:pPr>
        <w:widowControl/>
        <w:rPr>
          <w:u w:val="single"/>
        </w:rPr>
      </w:pPr>
    </w:p>
    <w:p w14:paraId="09EF93B6" w14:textId="43BA5F89" w:rsidR="00AA74FF" w:rsidRPr="00270761" w:rsidRDefault="00AA74FF" w:rsidP="00AA74FF">
      <w:pPr>
        <w:widowControl/>
        <w:rPr>
          <w:u w:val="single"/>
        </w:rPr>
      </w:pPr>
      <w:r w:rsidRPr="00270761">
        <w:rPr>
          <w:u w:val="single"/>
        </w:rPr>
        <w:lastRenderedPageBreak/>
        <w:t xml:space="preserve">Item 21 </w:t>
      </w:r>
    </w:p>
    <w:p w14:paraId="4702550E" w14:textId="739A8F62" w:rsidR="00AA74FF" w:rsidRPr="00270761" w:rsidRDefault="00AA74FF" w:rsidP="00AA74FF">
      <w:pPr>
        <w:widowControl/>
      </w:pPr>
      <w:r w:rsidRPr="00270761">
        <w:t>Item 21 is a technical amendment to ensure that the instrument of first designation and declaration that is referred to in table items 86 to 88 of Part 1 of Schedule 2 of the Russia and Ukraine List reflects the correct title of the instrument that imposed the sanctions relevant to those items (</w:t>
      </w:r>
      <w:proofErr w:type="spellStart"/>
      <w:r w:rsidRPr="00270761">
        <w:t>i.e</w:t>
      </w:r>
      <w:proofErr w:type="spellEnd"/>
      <w:r w:rsidRPr="00270761">
        <w:t xml:space="preserve"> </w:t>
      </w:r>
      <w:r w:rsidRPr="00270761">
        <w:rPr>
          <w:i/>
          <w:iCs/>
        </w:rPr>
        <w:t>Autonomous Sanctions (Designated Persons and Entities and Declared Persons—Russia and Ukraine) Amendment (No.10) Instrument 2022</w:t>
      </w:r>
      <w:r w:rsidRPr="00270761">
        <w:t xml:space="preserve">). </w:t>
      </w:r>
    </w:p>
    <w:p w14:paraId="0383E0DF" w14:textId="75567066" w:rsidR="00626C68" w:rsidRPr="00270761" w:rsidRDefault="00626C68" w:rsidP="00F52143">
      <w:pPr>
        <w:widowControl/>
      </w:pPr>
    </w:p>
    <w:p w14:paraId="3F85D84F" w14:textId="608681DC" w:rsidR="00AA74FF" w:rsidRPr="00270761" w:rsidRDefault="00AA74FF" w:rsidP="00AA74FF">
      <w:pPr>
        <w:widowControl/>
        <w:rPr>
          <w:u w:val="single"/>
        </w:rPr>
      </w:pPr>
      <w:r w:rsidRPr="00270761">
        <w:rPr>
          <w:u w:val="single"/>
        </w:rPr>
        <w:t xml:space="preserve">Item 22 </w:t>
      </w:r>
    </w:p>
    <w:p w14:paraId="0CC8252B" w14:textId="516C90BA" w:rsidR="00AA74FF" w:rsidRPr="00270761" w:rsidRDefault="00AA74FF" w:rsidP="00AA74FF">
      <w:pPr>
        <w:widowControl/>
      </w:pPr>
      <w:r w:rsidRPr="00270761">
        <w:t>Item 22 is a technical amendment to ensure that the instrument of first designation and declaration that is referred to in table items 89 to 149 of Part 1 of Schedule 2 of the Russia and Ukraine List reflects the correct title of the instrument that imposed the sanctions relevant to those items (</w:t>
      </w:r>
      <w:proofErr w:type="spellStart"/>
      <w:r w:rsidRPr="00270761">
        <w:t>i.e</w:t>
      </w:r>
      <w:proofErr w:type="spellEnd"/>
      <w:r w:rsidRPr="00270761">
        <w:t xml:space="preserve"> </w:t>
      </w:r>
      <w:r w:rsidRPr="00270761">
        <w:rPr>
          <w:i/>
          <w:iCs/>
        </w:rPr>
        <w:t>Autonomous Sanctions (Designated Persons and Entities and Declared Persons—Russia and Ukraine) Amendment (No.11) Instrument 2022</w:t>
      </w:r>
      <w:r w:rsidRPr="00270761">
        <w:t xml:space="preserve">). </w:t>
      </w:r>
    </w:p>
    <w:p w14:paraId="14C858BA" w14:textId="4CF90237" w:rsidR="00626C68" w:rsidRPr="00270761" w:rsidRDefault="00626C68" w:rsidP="00F52143">
      <w:pPr>
        <w:widowControl/>
      </w:pPr>
    </w:p>
    <w:p w14:paraId="07D6DF3C" w14:textId="2330C94A" w:rsidR="00AA74FF" w:rsidRPr="00270761" w:rsidRDefault="00AA74FF" w:rsidP="00F52143">
      <w:pPr>
        <w:widowControl/>
        <w:rPr>
          <w:u w:val="single"/>
        </w:rPr>
      </w:pPr>
      <w:r w:rsidRPr="00270761">
        <w:rPr>
          <w:u w:val="single"/>
        </w:rPr>
        <w:t xml:space="preserve">Item 23 </w:t>
      </w:r>
    </w:p>
    <w:p w14:paraId="5FDAA8ED" w14:textId="363F2D0A" w:rsidR="00626C68" w:rsidRPr="00270761" w:rsidRDefault="004D1A1F" w:rsidP="00F52143">
      <w:pPr>
        <w:widowControl/>
      </w:pPr>
      <w:r w:rsidRPr="00270761">
        <w:rPr>
          <w:shd w:val="clear" w:color="auto" w:fill="FFFFFF"/>
        </w:rPr>
        <w:t xml:space="preserve">The person listed in item 23 of the Instrument, Oleg </w:t>
      </w:r>
      <w:proofErr w:type="spellStart"/>
      <w:r w:rsidRPr="00270761">
        <w:rPr>
          <w:shd w:val="clear" w:color="auto" w:fill="FFFFFF"/>
        </w:rPr>
        <w:t>Matveichev</w:t>
      </w:r>
      <w:proofErr w:type="spellEnd"/>
      <w:r w:rsidRPr="00270761">
        <w:rPr>
          <w:shd w:val="clear" w:color="auto" w:fill="FFFFFF"/>
        </w:rPr>
        <w:t xml:space="preserve">, is designated by the Minister for the purposes of paragraph 6(a) of the Regulations and declared by the Minister for the purposes of paragraph 6(b) of the Regulations. Oleg </w:t>
      </w:r>
      <w:proofErr w:type="spellStart"/>
      <w:r w:rsidRPr="00270761">
        <w:rPr>
          <w:shd w:val="clear" w:color="auto" w:fill="FFFFFF"/>
        </w:rPr>
        <w:t>Matveichev</w:t>
      </w:r>
      <w:proofErr w:type="spellEnd"/>
      <w:r w:rsidRPr="00270761">
        <w:rPr>
          <w:shd w:val="clear" w:color="auto" w:fill="FFFFFF"/>
        </w:rPr>
        <w:t xml:space="preserve"> is </w:t>
      </w:r>
      <w:r w:rsidR="00254E75" w:rsidRPr="00270761">
        <w:rPr>
          <w:shd w:val="clear" w:color="auto" w:fill="FFFFFF"/>
        </w:rPr>
        <w:t xml:space="preserve">a </w:t>
      </w:r>
      <w:r w:rsidR="00FA0B0F" w:rsidRPr="00270761">
        <w:rPr>
          <w:shd w:val="clear" w:color="auto" w:fill="FFFFFF"/>
        </w:rPr>
        <w:t xml:space="preserve">Member </w:t>
      </w:r>
      <w:r w:rsidR="00254E75" w:rsidRPr="00270761">
        <w:rPr>
          <w:shd w:val="clear" w:color="auto" w:fill="FFFFFF"/>
        </w:rPr>
        <w:t xml:space="preserve">in the State Duma of the Federal Assembly of the Russian Federation and sits on </w:t>
      </w:r>
      <w:r w:rsidR="00414D56" w:rsidRPr="00270761">
        <w:rPr>
          <w:shd w:val="clear" w:color="auto" w:fill="FFFFFF"/>
        </w:rPr>
        <w:t xml:space="preserve">its </w:t>
      </w:r>
      <w:r w:rsidR="00254E75" w:rsidRPr="00270761">
        <w:rPr>
          <w:shd w:val="clear" w:color="auto" w:fill="FFFFFF"/>
        </w:rPr>
        <w:t>Committee for Informational Policy, Technologies and Communications</w:t>
      </w:r>
      <w:r w:rsidRPr="00270761">
        <w:rPr>
          <w:shd w:val="clear" w:color="auto" w:fill="FFFFFF"/>
        </w:rPr>
        <w:t>. The Minister made the designation and declaration being satisfied that</w:t>
      </w:r>
      <w:r w:rsidR="00254E75" w:rsidRPr="00270761">
        <w:rPr>
          <w:shd w:val="clear" w:color="auto" w:fill="FFFFFF"/>
        </w:rPr>
        <w:t xml:space="preserve">, </w:t>
      </w:r>
      <w:r w:rsidR="00FA0B0F" w:rsidRPr="00270761">
        <w:rPr>
          <w:shd w:val="clear" w:color="auto" w:fill="FFFFFF"/>
        </w:rPr>
        <w:t xml:space="preserve">by </w:t>
      </w:r>
      <w:r w:rsidR="00A14480" w:rsidRPr="00270761">
        <w:rPr>
          <w:shd w:val="clear" w:color="auto" w:fill="FFFFFF"/>
        </w:rPr>
        <w:t xml:space="preserve">publicly </w:t>
      </w:r>
      <w:r w:rsidR="00FA0B0F" w:rsidRPr="00270761">
        <w:rPr>
          <w:shd w:val="clear" w:color="auto" w:fill="FFFFFF"/>
        </w:rPr>
        <w:t>promoting the policies of President Putin in relation to the invasion of Ukraine</w:t>
      </w:r>
      <w:r w:rsidR="00254E75" w:rsidRPr="00270761">
        <w:rPr>
          <w:shd w:val="clear" w:color="auto" w:fill="FFFFFF"/>
        </w:rPr>
        <w:t>,</w:t>
      </w:r>
      <w:r w:rsidRPr="00270761">
        <w:rPr>
          <w:shd w:val="clear" w:color="auto" w:fill="FFFFFF"/>
        </w:rPr>
        <w:t xml:space="preserve"> </w:t>
      </w:r>
      <w:r w:rsidR="00F0346F" w:rsidRPr="00270761">
        <w:rPr>
          <w:shd w:val="clear" w:color="auto" w:fill="FFFFFF"/>
        </w:rPr>
        <w:t xml:space="preserve">Oleg </w:t>
      </w:r>
      <w:proofErr w:type="spellStart"/>
      <w:r w:rsidR="00F0346F" w:rsidRPr="00270761">
        <w:rPr>
          <w:shd w:val="clear" w:color="auto" w:fill="FFFFFF"/>
        </w:rPr>
        <w:t>Matveichev</w:t>
      </w:r>
      <w:proofErr w:type="spellEnd"/>
      <w:r w:rsidR="00F0346F" w:rsidRPr="00270761">
        <w:rPr>
          <w:shd w:val="clear" w:color="auto" w:fill="FFFFFF"/>
        </w:rPr>
        <w:t xml:space="preserve"> </w:t>
      </w:r>
      <w:r w:rsidR="000B1EAD" w:rsidRPr="00270761">
        <w:rPr>
          <w:shd w:val="clear" w:color="auto" w:fill="FFFFFF"/>
        </w:rPr>
        <w:t xml:space="preserve">meets the criteria mentioned in </w:t>
      </w:r>
      <w:r w:rsidR="000B1EAD" w:rsidRPr="00270761">
        <w:rPr>
          <w:shd w:val="clear" w:color="auto" w:fill="FFFFFF"/>
          <w:lang w:eastAsia="en-AU"/>
        </w:rPr>
        <w:t>paragraph (a) of item 6A of the table in regulation 6 of the Regulations, that is,</w:t>
      </w:r>
      <w:r w:rsidR="000B1EAD" w:rsidRPr="00270761">
        <w:rPr>
          <w:shd w:val="clear" w:color="auto" w:fill="FFFFFF"/>
        </w:rPr>
        <w:t xml:space="preserve"> </w:t>
      </w:r>
      <w:r w:rsidRPr="00270761">
        <w:rPr>
          <w:shd w:val="clear" w:color="auto" w:fill="FFFFFF"/>
        </w:rPr>
        <w:t>he is or has been, engaging in an activity or performing a function that is of strategic significance to Russia.</w:t>
      </w:r>
    </w:p>
    <w:p w14:paraId="78FAAB8D" w14:textId="77777777" w:rsidR="004D1A1F" w:rsidRPr="00270761" w:rsidRDefault="004D1A1F" w:rsidP="00F52143">
      <w:pPr>
        <w:widowControl/>
      </w:pPr>
    </w:p>
    <w:p w14:paraId="4E6173B9" w14:textId="0BA14E5C" w:rsidR="00626C68" w:rsidRPr="00270761" w:rsidRDefault="00626C68" w:rsidP="00F52143">
      <w:pPr>
        <w:widowControl/>
      </w:pPr>
    </w:p>
    <w:p w14:paraId="4647E435" w14:textId="4F0A955A" w:rsidR="00626C68" w:rsidRPr="00270761" w:rsidRDefault="00626C68" w:rsidP="00F52143">
      <w:pPr>
        <w:widowControl/>
      </w:pPr>
    </w:p>
    <w:p w14:paraId="64107E33" w14:textId="67C668EE" w:rsidR="00626C68" w:rsidRPr="00270761" w:rsidRDefault="00626C68" w:rsidP="00F52143">
      <w:pPr>
        <w:widowControl/>
      </w:pPr>
    </w:p>
    <w:p w14:paraId="41B45CB6" w14:textId="3F557B53" w:rsidR="00626C68" w:rsidRPr="00270761" w:rsidRDefault="00626C68" w:rsidP="00F52143">
      <w:pPr>
        <w:widowControl/>
      </w:pPr>
    </w:p>
    <w:p w14:paraId="4D68E463" w14:textId="4C0E7D82" w:rsidR="00626C68" w:rsidRPr="00270761" w:rsidRDefault="00626C68" w:rsidP="00F52143">
      <w:pPr>
        <w:widowControl/>
      </w:pPr>
    </w:p>
    <w:p w14:paraId="62F1D25F" w14:textId="722060CC" w:rsidR="00626C68" w:rsidRPr="00270761" w:rsidRDefault="00626C68" w:rsidP="00F52143">
      <w:pPr>
        <w:widowControl/>
      </w:pPr>
    </w:p>
    <w:p w14:paraId="5F2E6D97" w14:textId="132F20E3" w:rsidR="00626C68" w:rsidRPr="00270761" w:rsidRDefault="00626C68" w:rsidP="00F52143">
      <w:pPr>
        <w:widowControl/>
      </w:pPr>
    </w:p>
    <w:p w14:paraId="120D4E94" w14:textId="238C3A64" w:rsidR="00626C68" w:rsidRPr="00270761" w:rsidRDefault="00626C68" w:rsidP="00F52143">
      <w:pPr>
        <w:widowControl/>
      </w:pPr>
    </w:p>
    <w:p w14:paraId="55A8D1C3" w14:textId="488411F6" w:rsidR="00626C68" w:rsidRPr="00270761" w:rsidRDefault="00626C68" w:rsidP="00F52143">
      <w:pPr>
        <w:widowControl/>
      </w:pPr>
    </w:p>
    <w:p w14:paraId="0DB1E855" w14:textId="7D2AAFCF" w:rsidR="00626C68" w:rsidRPr="00270761" w:rsidRDefault="00626C68" w:rsidP="00F52143">
      <w:pPr>
        <w:widowControl/>
      </w:pPr>
    </w:p>
    <w:p w14:paraId="69A79B79" w14:textId="5E0453C9" w:rsidR="00626C68" w:rsidRPr="00270761" w:rsidRDefault="00626C68" w:rsidP="00F52143">
      <w:pPr>
        <w:widowControl/>
      </w:pPr>
    </w:p>
    <w:p w14:paraId="670F3643" w14:textId="4DA185ED" w:rsidR="00626C68" w:rsidRPr="00270761" w:rsidRDefault="00626C68" w:rsidP="00F52143">
      <w:pPr>
        <w:widowControl/>
      </w:pPr>
    </w:p>
    <w:p w14:paraId="489BA9EB" w14:textId="16D26787" w:rsidR="00626C68" w:rsidRPr="00270761" w:rsidRDefault="00626C68" w:rsidP="00F52143">
      <w:pPr>
        <w:widowControl/>
      </w:pPr>
    </w:p>
    <w:p w14:paraId="20DA60A4" w14:textId="74BA28B3" w:rsidR="00626C68" w:rsidRPr="00270761" w:rsidRDefault="00626C68" w:rsidP="00F52143">
      <w:pPr>
        <w:widowControl/>
      </w:pPr>
    </w:p>
    <w:p w14:paraId="24B852EA" w14:textId="4E51A676" w:rsidR="00626C68" w:rsidRPr="00270761" w:rsidRDefault="00626C68" w:rsidP="00F52143">
      <w:pPr>
        <w:widowControl/>
      </w:pPr>
    </w:p>
    <w:p w14:paraId="2D6BD356" w14:textId="1C97553F" w:rsidR="00626C68" w:rsidRPr="00270761" w:rsidRDefault="00626C68" w:rsidP="00F52143">
      <w:pPr>
        <w:widowControl/>
      </w:pPr>
    </w:p>
    <w:p w14:paraId="74AE24E8" w14:textId="57CABC02" w:rsidR="00626C68" w:rsidRPr="00270761" w:rsidRDefault="00626C68" w:rsidP="00F52143">
      <w:pPr>
        <w:widowControl/>
      </w:pPr>
    </w:p>
    <w:p w14:paraId="179B8FF1" w14:textId="45EDC3A7" w:rsidR="00626C68" w:rsidRPr="00270761" w:rsidRDefault="00626C68" w:rsidP="00F52143">
      <w:pPr>
        <w:widowControl/>
      </w:pPr>
    </w:p>
    <w:p w14:paraId="4D77B2DC" w14:textId="04158FEC" w:rsidR="00626C68" w:rsidRPr="00270761" w:rsidRDefault="00626C68" w:rsidP="00F52143">
      <w:pPr>
        <w:widowControl/>
      </w:pPr>
    </w:p>
    <w:p w14:paraId="4A3EF6B9" w14:textId="6C8BF491" w:rsidR="00626C68" w:rsidRPr="00270761" w:rsidRDefault="00626C68" w:rsidP="00F52143">
      <w:pPr>
        <w:widowControl/>
      </w:pPr>
    </w:p>
    <w:p w14:paraId="503244F4" w14:textId="338C1C3C" w:rsidR="00626C68" w:rsidRPr="00270761" w:rsidRDefault="00626C68" w:rsidP="00F52143">
      <w:pPr>
        <w:widowControl/>
      </w:pPr>
    </w:p>
    <w:p w14:paraId="2123EA3D" w14:textId="79DDE1BA" w:rsidR="00626C68" w:rsidRPr="00270761" w:rsidRDefault="00626C68" w:rsidP="00F52143">
      <w:pPr>
        <w:widowControl/>
      </w:pPr>
    </w:p>
    <w:p w14:paraId="200FDA1E" w14:textId="77777777" w:rsidR="00FA0B0F" w:rsidRPr="00270761" w:rsidRDefault="00FA0B0F" w:rsidP="00F52143">
      <w:pPr>
        <w:widowControl/>
      </w:pPr>
    </w:p>
    <w:p w14:paraId="47D58889" w14:textId="77777777" w:rsidR="000B1EAD" w:rsidRPr="00270761" w:rsidRDefault="000B1EAD" w:rsidP="000B1EAD">
      <w:pPr>
        <w:pStyle w:val="Title"/>
        <w:keepNext/>
        <w:tabs>
          <w:tab w:val="left" w:pos="6120"/>
        </w:tabs>
        <w:rPr>
          <w:rFonts w:ascii="Times New Roman" w:hAnsi="Times New Roman" w:cs="Times New Roman"/>
        </w:rPr>
      </w:pPr>
      <w:r w:rsidRPr="00270761">
        <w:rPr>
          <w:rFonts w:ascii="Times New Roman" w:hAnsi="Times New Roman" w:cs="Times New Roman"/>
        </w:rPr>
        <w:t>Statement of Compatibility with Human Rights</w:t>
      </w:r>
    </w:p>
    <w:p w14:paraId="65E3D392" w14:textId="77777777" w:rsidR="000B1EAD" w:rsidRPr="00270761" w:rsidRDefault="000B1EAD" w:rsidP="000B1EAD">
      <w:pPr>
        <w:pStyle w:val="Title"/>
        <w:tabs>
          <w:tab w:val="left" w:pos="6120"/>
        </w:tabs>
        <w:rPr>
          <w:rFonts w:ascii="Times New Roman" w:hAnsi="Times New Roman" w:cs="Times New Roman"/>
        </w:rPr>
      </w:pPr>
    </w:p>
    <w:p w14:paraId="70388624" w14:textId="77777777" w:rsidR="000B1EAD" w:rsidRPr="00270761" w:rsidRDefault="000B1EAD" w:rsidP="000B1EAD">
      <w:pPr>
        <w:jc w:val="center"/>
        <w:rPr>
          <w:rFonts w:ascii="Times New Roman" w:hAnsi="Times New Roman" w:cs="Times New Roman"/>
          <w:lang w:eastAsia="en-AU"/>
        </w:rPr>
      </w:pPr>
      <w:r w:rsidRPr="00270761">
        <w:rPr>
          <w:rFonts w:ascii="Times New Roman" w:hAnsi="Times New Roman" w:cs="Times New Roman"/>
          <w:lang w:eastAsia="en-AU"/>
        </w:rPr>
        <w:t xml:space="preserve">Prepared in accordance with Part 3 of the </w:t>
      </w:r>
      <w:r w:rsidRPr="00270761">
        <w:rPr>
          <w:rFonts w:ascii="Times New Roman" w:hAnsi="Times New Roman" w:cs="Times New Roman"/>
          <w:i/>
          <w:lang w:eastAsia="en-AU"/>
        </w:rPr>
        <w:t>Human Rights (Parliamentary Scrutiny) Act 2011</w:t>
      </w:r>
    </w:p>
    <w:p w14:paraId="437F07D1" w14:textId="77777777" w:rsidR="000B1EAD" w:rsidRPr="00270761" w:rsidRDefault="000B1EAD" w:rsidP="000B1EAD">
      <w:pPr>
        <w:jc w:val="center"/>
        <w:rPr>
          <w:rFonts w:ascii="Times New Roman" w:hAnsi="Times New Roman" w:cs="Times New Roman"/>
          <w:bCs/>
          <w:sz w:val="23"/>
          <w:szCs w:val="23"/>
        </w:rPr>
      </w:pPr>
    </w:p>
    <w:p w14:paraId="7B5BB6C3" w14:textId="53825279" w:rsidR="000B1EAD" w:rsidRPr="00270761" w:rsidRDefault="000B1EAD" w:rsidP="000B1EAD">
      <w:pPr>
        <w:jc w:val="center"/>
        <w:rPr>
          <w:rFonts w:ascii="Times New Roman" w:hAnsi="Times New Roman" w:cs="Times New Roman"/>
          <w:i/>
          <w:iCs/>
        </w:rPr>
      </w:pPr>
      <w:r w:rsidRPr="00270761">
        <w:rPr>
          <w:rFonts w:ascii="Times New Roman" w:hAnsi="Times New Roman" w:cs="Times New Roman"/>
          <w:i/>
          <w:iCs/>
        </w:rPr>
        <w:t>Autonomous Sanctions (Designated Persons and Entities and Declared Persons</w:t>
      </w:r>
      <w:r w:rsidRPr="00270761">
        <w:rPr>
          <w:iCs/>
        </w:rPr>
        <w:t>—</w:t>
      </w:r>
      <w:r w:rsidRPr="00270761">
        <w:rPr>
          <w:i/>
        </w:rPr>
        <w:t xml:space="preserve">Russia and </w:t>
      </w:r>
      <w:r w:rsidRPr="00270761">
        <w:rPr>
          <w:rFonts w:ascii="Times New Roman" w:hAnsi="Times New Roman" w:cs="Times New Roman"/>
          <w:i/>
          <w:iCs/>
        </w:rPr>
        <w:t xml:space="preserve">Ukraine) Amendment (No. </w:t>
      </w:r>
      <w:r w:rsidR="00FA0B0F" w:rsidRPr="00270761">
        <w:rPr>
          <w:rFonts w:ascii="Times New Roman" w:hAnsi="Times New Roman" w:cs="Times New Roman"/>
          <w:i/>
          <w:iCs/>
        </w:rPr>
        <w:t>15</w:t>
      </w:r>
      <w:r w:rsidRPr="00270761">
        <w:rPr>
          <w:rFonts w:ascii="Times New Roman" w:hAnsi="Times New Roman" w:cs="Times New Roman"/>
          <w:i/>
          <w:iCs/>
        </w:rPr>
        <w:t>) Instrument 2022</w:t>
      </w:r>
    </w:p>
    <w:p w14:paraId="087F4EE1" w14:textId="77777777" w:rsidR="000B1EAD" w:rsidRPr="00270761" w:rsidRDefault="000B1EAD" w:rsidP="000B1EAD">
      <w:pPr>
        <w:rPr>
          <w:rFonts w:ascii="Times New Roman" w:hAnsi="Times New Roman" w:cs="Times New Roman"/>
          <w:lang w:eastAsia="en-AU"/>
        </w:rPr>
      </w:pPr>
    </w:p>
    <w:p w14:paraId="1701C0EB" w14:textId="07D52EE4" w:rsidR="000B1EAD" w:rsidRPr="00270761" w:rsidRDefault="000B1EAD" w:rsidP="000B1EAD">
      <w:pPr>
        <w:rPr>
          <w:rFonts w:ascii="Times New Roman" w:hAnsi="Times New Roman" w:cs="Times New Roman"/>
          <w:i/>
          <w:iCs/>
        </w:rPr>
      </w:pPr>
      <w:r w:rsidRPr="00270761">
        <w:rPr>
          <w:rFonts w:ascii="Times New Roman" w:hAnsi="Times New Roman" w:cs="Times New Roman"/>
          <w:bCs/>
          <w:sz w:val="23"/>
          <w:szCs w:val="23"/>
        </w:rPr>
        <w:t xml:space="preserve">The </w:t>
      </w:r>
      <w:r w:rsidRPr="00270761">
        <w:rPr>
          <w:rFonts w:ascii="Times New Roman" w:hAnsi="Times New Roman" w:cs="Times New Roman"/>
          <w:i/>
          <w:iCs/>
        </w:rPr>
        <w:t>Autonomous Sanctions (Designated Persons and Entities and Declared Persons</w:t>
      </w:r>
      <w:r w:rsidRPr="00270761">
        <w:rPr>
          <w:iCs/>
        </w:rPr>
        <w:t>—</w:t>
      </w:r>
      <w:r w:rsidRPr="00270761">
        <w:rPr>
          <w:i/>
        </w:rPr>
        <w:t xml:space="preserve">Russia and </w:t>
      </w:r>
      <w:r w:rsidRPr="00270761">
        <w:rPr>
          <w:rFonts w:ascii="Times New Roman" w:hAnsi="Times New Roman" w:cs="Times New Roman"/>
          <w:i/>
          <w:iCs/>
        </w:rPr>
        <w:t xml:space="preserve">Ukraine) Amendment (No. </w:t>
      </w:r>
      <w:r w:rsidR="00FA0B0F" w:rsidRPr="00270761">
        <w:rPr>
          <w:rFonts w:ascii="Times New Roman" w:hAnsi="Times New Roman" w:cs="Times New Roman"/>
          <w:i/>
          <w:iCs/>
        </w:rPr>
        <w:t>15</w:t>
      </w:r>
      <w:r w:rsidRPr="00270761">
        <w:rPr>
          <w:rFonts w:ascii="Times New Roman" w:hAnsi="Times New Roman" w:cs="Times New Roman"/>
          <w:i/>
          <w:iCs/>
        </w:rPr>
        <w:t>) Instrument 2022</w:t>
      </w:r>
      <w:r w:rsidRPr="00270761">
        <w:rPr>
          <w:rFonts w:ascii="Times New Roman" w:hAnsi="Times New Roman" w:cs="Times New Roman"/>
          <w:bCs/>
          <w:iCs/>
          <w:sz w:val="23"/>
          <w:szCs w:val="23"/>
        </w:rPr>
        <w:t xml:space="preserve"> (the Instrument)</w:t>
      </w:r>
      <w:r w:rsidRPr="00270761">
        <w:rPr>
          <w:rFonts w:ascii="Times New Roman" w:hAnsi="Times New Roman" w:cs="Times New Roman"/>
          <w:bCs/>
          <w:i/>
          <w:iCs/>
          <w:sz w:val="23"/>
          <w:szCs w:val="23"/>
        </w:rPr>
        <w:t xml:space="preserve"> </w:t>
      </w:r>
      <w:r w:rsidRPr="00270761">
        <w:rPr>
          <w:rFonts w:ascii="Times New Roman" w:hAnsi="Times New Roman" w:cs="Times New Roman"/>
          <w:bCs/>
        </w:rPr>
        <w:t xml:space="preserve">is compatible with the human rights and freedoms recognised or declared in the international instruments listed in section 3 of the </w:t>
      </w:r>
      <w:r w:rsidRPr="00270761">
        <w:rPr>
          <w:rFonts w:ascii="Times New Roman" w:hAnsi="Times New Roman" w:cs="Times New Roman"/>
          <w:bCs/>
          <w:i/>
        </w:rPr>
        <w:t>Human Rights (Parliamentary Scrutiny) Act 2011.</w:t>
      </w:r>
      <w:r w:rsidRPr="00270761">
        <w:rPr>
          <w:rFonts w:ascii="Times New Roman" w:hAnsi="Times New Roman" w:cs="Times New Roman"/>
          <w:bCs/>
        </w:rPr>
        <w:t xml:space="preserve"> </w:t>
      </w:r>
    </w:p>
    <w:p w14:paraId="3952AD2C" w14:textId="77777777" w:rsidR="000B1EAD" w:rsidRPr="00270761" w:rsidRDefault="000B1EAD" w:rsidP="000B1EAD">
      <w:pPr>
        <w:rPr>
          <w:rFonts w:ascii="Times New Roman" w:hAnsi="Times New Roman" w:cs="Times New Roman"/>
          <w:bCs/>
        </w:rPr>
      </w:pPr>
    </w:p>
    <w:p w14:paraId="33CA347F" w14:textId="42115458" w:rsidR="000B1EAD" w:rsidRPr="00270761" w:rsidRDefault="000B1EAD" w:rsidP="000B1EAD">
      <w:pPr>
        <w:rPr>
          <w:rFonts w:ascii="Times New Roman" w:hAnsi="Times New Roman" w:cs="Times New Roman"/>
          <w:lang w:val="en-GB"/>
        </w:rPr>
      </w:pPr>
      <w:r w:rsidRPr="00270761">
        <w:rPr>
          <w:rFonts w:ascii="Times New Roman" w:hAnsi="Times New Roman" w:cs="Times New Roman"/>
        </w:rPr>
        <w:t>Australia’s autonomous sanctions regimes impose highly targeted measures in response to situations of international concern</w:t>
      </w:r>
      <w:r w:rsidRPr="00270761">
        <w:rPr>
          <w:rFonts w:ascii="Times New Roman" w:hAnsi="Times New Roman" w:cs="Times New Roman"/>
          <w:bCs/>
        </w:rPr>
        <w:t xml:space="preserve">, including where there are, or have been, threats to the sovereignty and territorial integrity of a State. Given the serious nature of the threats to the sovereignty and territorial integrity of Ukraine, the Government considers that targeted financial sanctions and travel bans are </w:t>
      </w:r>
      <w:r w:rsidR="00F0346F" w:rsidRPr="00270761">
        <w:rPr>
          <w:rFonts w:ascii="Times New Roman" w:hAnsi="Times New Roman" w:cs="Times New Roman"/>
          <w:bCs/>
        </w:rPr>
        <w:t>an</w:t>
      </w:r>
      <w:r w:rsidRPr="00270761">
        <w:rPr>
          <w:rFonts w:ascii="Times New Roman" w:hAnsi="Times New Roman" w:cs="Times New Roman"/>
          <w:bCs/>
        </w:rPr>
        <w:t xml:space="preserve"> effective way to achieve its </w:t>
      </w:r>
      <w:r w:rsidRPr="00270761">
        <w:rPr>
          <w:rFonts w:ascii="Times New Roman" w:hAnsi="Times New Roman" w:cs="Times New Roman"/>
          <w:lang w:val="en-GB"/>
        </w:rPr>
        <w:t>legitimate foreign policy objective of signalling Australia’s concerns about the situation in Ukraine</w:t>
      </w:r>
      <w:r w:rsidR="00F0346F" w:rsidRPr="00270761">
        <w:rPr>
          <w:rFonts w:ascii="Times New Roman" w:hAnsi="Times New Roman" w:cs="Times New Roman"/>
          <w:lang w:val="en-GB"/>
        </w:rPr>
        <w:t>, while limiting human rights as little as possible</w:t>
      </w:r>
      <w:r w:rsidRPr="00270761">
        <w:rPr>
          <w:rFonts w:ascii="Times New Roman" w:hAnsi="Times New Roman" w:cs="Times New Roman"/>
          <w:lang w:val="en-GB"/>
        </w:rPr>
        <w:t xml:space="preserve">. These sanctions allow a targeted response to Australia’s concerns relating to Russia’s unprovoked and unacceptable attack on Ukraine, by </w:t>
      </w:r>
      <w:r w:rsidRPr="00270761">
        <w:t xml:space="preserve">imposing a cost on Russia and </w:t>
      </w:r>
      <w:r w:rsidRPr="00270761">
        <w:rPr>
          <w:rFonts w:ascii="Times New Roman" w:hAnsi="Times New Roman" w:cs="Times New Roman"/>
          <w:lang w:val="en-GB"/>
        </w:rPr>
        <w:t>seeking to influence the Russian state to de-escalate the situation.</w:t>
      </w:r>
    </w:p>
    <w:p w14:paraId="6F4CB8DC" w14:textId="77777777" w:rsidR="000B1EAD" w:rsidRPr="00270761" w:rsidRDefault="000B1EAD" w:rsidP="000B1EAD">
      <w:pPr>
        <w:rPr>
          <w:rFonts w:ascii="Times New Roman" w:hAnsi="Times New Roman" w:cs="Times New Roman"/>
          <w:bCs/>
        </w:rPr>
      </w:pPr>
    </w:p>
    <w:p w14:paraId="6D5CD01F" w14:textId="77777777" w:rsidR="000B1EAD" w:rsidRPr="00270761" w:rsidRDefault="000B1EAD" w:rsidP="000B1EAD">
      <w:pPr>
        <w:rPr>
          <w:rFonts w:ascii="Times New Roman" w:hAnsi="Times New Roman" w:cs="Times New Roman"/>
          <w:lang w:val="en-GB"/>
        </w:rPr>
      </w:pPr>
      <w:r w:rsidRPr="00270761">
        <w:rPr>
          <w:rFonts w:ascii="Times New Roman" w:hAnsi="Times New Roman" w:cs="Times New Roman"/>
        </w:rPr>
        <w:t xml:space="preserve">The autonomous sanctions designations and declarations made by this Instrument pursue legitimate objectives and have appropriate safeguards in place to ensure that any limitation on human rights engaged by the imposition of sanctions is a reasonable, necessary and proportionate response to the situation of international concern, and do not affect particularly vulnerable groups. </w:t>
      </w:r>
      <w:r w:rsidRPr="00270761">
        <w:rPr>
          <w:rFonts w:ascii="Times New Roman" w:hAnsi="Times New Roman" w:cs="Times New Roman"/>
          <w:lang w:val="en-GB"/>
        </w:rPr>
        <w:t>The Government keeps its sanctions regimes under regular review, including in relation to whether more effective, less rights</w:t>
      </w:r>
      <w:r w:rsidRPr="00270761">
        <w:rPr>
          <w:rFonts w:ascii="Times New Roman" w:hAnsi="Times New Roman" w:cs="Times New Roman"/>
          <w:lang w:val="en-GB"/>
        </w:rPr>
        <w:noBreakHyphen/>
        <w:t>restrictive means are available to achieve similar foreign policy objectives.</w:t>
      </w:r>
    </w:p>
    <w:p w14:paraId="1CA92D60" w14:textId="77777777" w:rsidR="000B1EAD" w:rsidRPr="00270761" w:rsidRDefault="000B1EAD" w:rsidP="000B1EAD">
      <w:pPr>
        <w:rPr>
          <w:rFonts w:ascii="Times New Roman" w:hAnsi="Times New Roman" w:cs="Times New Roman"/>
          <w:lang w:val="en-GB"/>
        </w:rPr>
      </w:pPr>
    </w:p>
    <w:p w14:paraId="213E75F2" w14:textId="77777777" w:rsidR="000B1EAD" w:rsidRPr="00270761" w:rsidRDefault="000B1EAD" w:rsidP="000B1EAD">
      <w:pPr>
        <w:widowControl/>
        <w:rPr>
          <w:lang w:eastAsia="en-AU"/>
        </w:rPr>
      </w:pPr>
      <w:r w:rsidRPr="00270761">
        <w:rPr>
          <w:lang w:eastAsia="en-AU"/>
        </w:rPr>
        <w:t xml:space="preserve">The </w:t>
      </w:r>
      <w:r w:rsidRPr="00270761">
        <w:rPr>
          <w:i/>
          <w:lang w:eastAsia="en-AU"/>
        </w:rPr>
        <w:t>Autonomous Sanctions Regulations 2011</w:t>
      </w:r>
      <w:r w:rsidRPr="00270761">
        <w:rPr>
          <w:lang w:eastAsia="en-AU"/>
        </w:rPr>
        <w:t xml:space="preserve"> (the Regulations) make provision for, among other things, the proscription of persons or entities for autonomous sanctions. The Instrument, made under regulation 6 of the Regulations, designates persons and entities for targeted financial sanctions and declares those persons for the purposes of travel bans.  The Minister made the designations and declarations being satisfied that the persons or entities:</w:t>
      </w:r>
    </w:p>
    <w:p w14:paraId="743F95FC" w14:textId="1C7EFD2B" w:rsidR="000B1EAD" w:rsidRPr="00270761" w:rsidRDefault="000B1EAD" w:rsidP="000B1EAD">
      <w:pPr>
        <w:pStyle w:val="ListParagraph"/>
        <w:widowControl/>
        <w:numPr>
          <w:ilvl w:val="0"/>
          <w:numId w:val="10"/>
        </w:numPr>
        <w:rPr>
          <w:lang w:eastAsia="en-AU"/>
        </w:rPr>
      </w:pPr>
      <w:r w:rsidRPr="00270761">
        <w:rPr>
          <w:lang w:eastAsia="en-AU"/>
        </w:rPr>
        <w:t>are responsible for or complicit in the threat to the sovereignty and territorial integrity of Ukraine (item 9 of the table at regulation 6) (the Ukraine criteria);</w:t>
      </w:r>
      <w:r w:rsidR="00A14480" w:rsidRPr="00270761">
        <w:rPr>
          <w:lang w:eastAsia="en-AU"/>
        </w:rPr>
        <w:t xml:space="preserve"> or</w:t>
      </w:r>
    </w:p>
    <w:p w14:paraId="4669D2EB" w14:textId="2BFDC6E2" w:rsidR="000B1EAD" w:rsidRPr="00270761" w:rsidRDefault="000B1EAD" w:rsidP="000B1EAD">
      <w:pPr>
        <w:pStyle w:val="ListParagraph"/>
        <w:widowControl/>
        <w:numPr>
          <w:ilvl w:val="0"/>
          <w:numId w:val="10"/>
        </w:numPr>
        <w:rPr>
          <w:lang w:eastAsia="en-AU"/>
        </w:rPr>
      </w:pPr>
      <w:r w:rsidRPr="00270761">
        <w:rPr>
          <w:rFonts w:ascii="Times New Roman" w:hAnsi="Times New Roman" w:cs="Times New Roman"/>
          <w:color w:val="auto"/>
          <w:lang w:eastAsia="en-AU"/>
        </w:rPr>
        <w:t>are, or have been, engaging in an activity or performing a function that is of economic or strategic significance to Russia (paragraph (a) of item 6A of the table at regulation 6)</w:t>
      </w:r>
      <w:r w:rsidRPr="00270761">
        <w:rPr>
          <w:lang w:eastAsia="en-AU"/>
        </w:rPr>
        <w:t xml:space="preserve"> (the Russia criteria)</w:t>
      </w:r>
      <w:r w:rsidR="00A14480" w:rsidRPr="00270761">
        <w:rPr>
          <w:lang w:eastAsia="en-AU"/>
        </w:rPr>
        <w:t>.</w:t>
      </w:r>
    </w:p>
    <w:p w14:paraId="32A75585" w14:textId="0A4EB9E4" w:rsidR="000B1EAD" w:rsidRPr="00270761" w:rsidRDefault="000B1EAD" w:rsidP="00A14480">
      <w:pPr>
        <w:pStyle w:val="ListParagraph"/>
        <w:shd w:val="clear" w:color="auto" w:fill="FFFFFF"/>
        <w:spacing w:after="120" w:line="264" w:lineRule="atLeast"/>
        <w:ind w:left="780"/>
        <w:rPr>
          <w:lang w:eastAsia="en-AU"/>
        </w:rPr>
      </w:pPr>
    </w:p>
    <w:p w14:paraId="58888CFB"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 xml:space="preserve">The human rights compatibility of the Instrument is addressed by reference to each of the human rights engaged below. </w:t>
      </w:r>
    </w:p>
    <w:p w14:paraId="099565D5" w14:textId="77777777" w:rsidR="000B1EAD" w:rsidRPr="00270761" w:rsidRDefault="000B1EAD" w:rsidP="000B1EAD">
      <w:pPr>
        <w:widowControl/>
        <w:rPr>
          <w:rFonts w:ascii="Times New Roman" w:hAnsi="Times New Roman" w:cs="Times New Roman"/>
        </w:rPr>
      </w:pPr>
    </w:p>
    <w:p w14:paraId="43705E64" w14:textId="77777777" w:rsidR="000B1EAD" w:rsidRPr="00270761" w:rsidRDefault="000B1EAD" w:rsidP="000B1EAD">
      <w:pPr>
        <w:keepNext/>
        <w:widowControl/>
        <w:rPr>
          <w:rFonts w:ascii="Times New Roman" w:hAnsi="Times New Roman" w:cs="Times New Roman"/>
        </w:rPr>
      </w:pPr>
      <w:r w:rsidRPr="00270761">
        <w:rPr>
          <w:rFonts w:ascii="Times New Roman" w:hAnsi="Times New Roman" w:cs="Times New Roman"/>
          <w:b/>
        </w:rPr>
        <w:lastRenderedPageBreak/>
        <w:t>Right to privacy</w:t>
      </w:r>
    </w:p>
    <w:p w14:paraId="48E1FD24" w14:textId="77777777" w:rsidR="000B1EAD" w:rsidRPr="00270761" w:rsidRDefault="000B1EAD" w:rsidP="000B1EAD">
      <w:pPr>
        <w:keepNext/>
        <w:widowControl/>
        <w:rPr>
          <w:rFonts w:ascii="Times New Roman" w:hAnsi="Times New Roman" w:cs="Times New Roman"/>
        </w:rPr>
      </w:pPr>
    </w:p>
    <w:p w14:paraId="20B92D9D"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u w:val="single"/>
        </w:rPr>
        <w:t>Right</w:t>
      </w:r>
    </w:p>
    <w:p w14:paraId="7B17AA36" w14:textId="77777777" w:rsidR="000B1EAD" w:rsidRPr="00270761" w:rsidRDefault="000B1EAD" w:rsidP="000B1EAD">
      <w:pPr>
        <w:widowControl/>
        <w:rPr>
          <w:rFonts w:ascii="Times New Roman" w:hAnsi="Times New Roman" w:cs="Times New Roman"/>
        </w:rPr>
      </w:pPr>
    </w:p>
    <w:p w14:paraId="55E9D313"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Article 17 of the International Covenant on Civil and Political Rights (the ICCPR) prohibits unlawful or arbitrary interferences with a person's privacy, family, home and correspondence.</w:t>
      </w:r>
    </w:p>
    <w:p w14:paraId="06536AAE" w14:textId="77777777" w:rsidR="000B1EAD" w:rsidRPr="00270761" w:rsidRDefault="000B1EAD" w:rsidP="000B1EAD">
      <w:pPr>
        <w:widowControl/>
        <w:rPr>
          <w:rFonts w:ascii="Times New Roman" w:hAnsi="Times New Roman" w:cs="Times New Roman"/>
        </w:rPr>
      </w:pPr>
    </w:p>
    <w:p w14:paraId="49304278"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The use of the term ‘arbitrary’ in the ICCPR means that any interferences with privacy must be in accordance with the provisions, aims and objectives of the ICCPR and should be reasonable in the individual circumstances. Arbitrariness connotes elements of injustice, unpredictability, unreasonableness, capriciousness and ‘</w:t>
      </w:r>
      <w:proofErr w:type="spellStart"/>
      <w:r w:rsidRPr="00270761">
        <w:rPr>
          <w:rFonts w:ascii="Times New Roman" w:hAnsi="Times New Roman" w:cs="Times New Roman"/>
        </w:rPr>
        <w:t>unproportionality</w:t>
      </w:r>
      <w:proofErr w:type="spellEnd"/>
      <w:r w:rsidRPr="00270761">
        <w:rPr>
          <w:rFonts w:ascii="Times New Roman" w:hAnsi="Times New Roman" w:cs="Times New Roman"/>
        </w:rPr>
        <w:t>’.</w:t>
      </w:r>
      <w:r w:rsidRPr="00270761">
        <w:rPr>
          <w:rStyle w:val="FootnoteReference"/>
          <w:rFonts w:ascii="Times New Roman" w:hAnsi="Times New Roman" w:cs="Times New Roman"/>
        </w:rPr>
        <w:footnoteReference w:id="2"/>
      </w:r>
    </w:p>
    <w:p w14:paraId="5B72C458" w14:textId="77777777" w:rsidR="000B1EAD" w:rsidRPr="00270761" w:rsidRDefault="000B1EAD" w:rsidP="000B1EAD">
      <w:pPr>
        <w:widowControl/>
        <w:rPr>
          <w:rFonts w:ascii="Times New Roman" w:hAnsi="Times New Roman" w:cs="Times New Roman"/>
          <w:u w:val="single"/>
        </w:rPr>
      </w:pPr>
    </w:p>
    <w:p w14:paraId="5CE33A23"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u w:val="single"/>
        </w:rPr>
        <w:t>Permissible limitations</w:t>
      </w:r>
    </w:p>
    <w:p w14:paraId="143A2636" w14:textId="77777777" w:rsidR="000B1EAD" w:rsidRPr="00270761" w:rsidRDefault="000B1EAD" w:rsidP="000B1EAD">
      <w:pPr>
        <w:widowControl/>
        <w:rPr>
          <w:rFonts w:ascii="Times New Roman" w:hAnsi="Times New Roman" w:cs="Times New Roman"/>
        </w:rPr>
      </w:pPr>
    </w:p>
    <w:p w14:paraId="15D8A2C3" w14:textId="56E58231" w:rsidR="000B1EAD" w:rsidRPr="00270761" w:rsidRDefault="000B1EAD" w:rsidP="000B1EAD">
      <w:pPr>
        <w:rPr>
          <w:rFonts w:ascii="Times New Roman" w:hAnsi="Times New Roman" w:cs="Times New Roman"/>
          <w:bCs/>
        </w:rPr>
      </w:pPr>
      <w:r w:rsidRPr="00270761">
        <w:rPr>
          <w:rFonts w:ascii="Times New Roman" w:hAnsi="Times New Roman" w:cs="Times New Roman"/>
          <w:bCs/>
        </w:rPr>
        <w:t xml:space="preserve">The Instrument is not an unlawful interference with an individual’s right to privacy. Section 10 of the </w:t>
      </w:r>
      <w:r w:rsidRPr="00270761">
        <w:rPr>
          <w:rFonts w:ascii="Times New Roman" w:hAnsi="Times New Roman" w:cs="Times New Roman"/>
          <w:bCs/>
          <w:i/>
        </w:rPr>
        <w:t>Autonomous Sanctions Act 2011</w:t>
      </w:r>
      <w:r w:rsidRPr="00270761">
        <w:rPr>
          <w:rFonts w:ascii="Times New Roman" w:hAnsi="Times New Roman" w:cs="Times New Roman"/>
          <w:bCs/>
        </w:rPr>
        <w:t xml:space="preserve"> (the Act) permits regulations relating to, among other things: ‘proscription of persons or entities (for specified purposes or more generally)’; and ‘restriction or prevention of uses </w:t>
      </w:r>
      <w:proofErr w:type="gramStart"/>
      <w:r w:rsidRPr="00270761">
        <w:rPr>
          <w:rFonts w:ascii="Times New Roman" w:hAnsi="Times New Roman" w:cs="Times New Roman"/>
          <w:bCs/>
        </w:rPr>
        <w:t>of,</w:t>
      </w:r>
      <w:proofErr w:type="gramEnd"/>
      <w:r w:rsidRPr="00270761">
        <w:rPr>
          <w:rFonts w:ascii="Times New Roman" w:hAnsi="Times New Roman" w:cs="Times New Roman"/>
          <w:bCs/>
        </w:rPr>
        <w:t xml:space="preserve"> dealings with, and making available of, assets’. The designations and declarations contained in the Instrument were made pursuant to regulation 6 of the </w:t>
      </w:r>
      <w:r w:rsidRPr="00270761">
        <w:rPr>
          <w:rFonts w:ascii="Times New Roman" w:hAnsi="Times New Roman" w:cs="Times New Roman"/>
          <w:bCs/>
          <w:i/>
        </w:rPr>
        <w:t>Autonomous Sanctions Regulations 2011</w:t>
      </w:r>
      <w:r w:rsidRPr="00270761">
        <w:rPr>
          <w:rFonts w:ascii="Times New Roman" w:hAnsi="Times New Roman" w:cs="Times New Roman"/>
          <w:bCs/>
        </w:rPr>
        <w:t xml:space="preserve"> (the Regulations), which provides that the Minister may, by legislative instrument, designate a person for targeted financial sanctions and/or </w:t>
      </w:r>
      <w:r w:rsidR="00F0346F" w:rsidRPr="00270761">
        <w:rPr>
          <w:rFonts w:ascii="Times New Roman" w:hAnsi="Times New Roman" w:cs="Times New Roman"/>
          <w:bCs/>
        </w:rPr>
        <w:t xml:space="preserve">declare a person for a </w:t>
      </w:r>
      <w:r w:rsidRPr="00270761">
        <w:rPr>
          <w:rFonts w:ascii="Times New Roman" w:hAnsi="Times New Roman" w:cs="Times New Roman"/>
          <w:bCs/>
        </w:rPr>
        <w:t xml:space="preserve">travel ban. </w:t>
      </w:r>
    </w:p>
    <w:p w14:paraId="32E8CEB5" w14:textId="77777777" w:rsidR="000B1EAD" w:rsidRPr="00270761" w:rsidRDefault="000B1EAD" w:rsidP="000B1EAD">
      <w:pPr>
        <w:rPr>
          <w:rFonts w:ascii="Times New Roman" w:hAnsi="Times New Roman" w:cs="Times New Roman"/>
          <w:bCs/>
        </w:rPr>
      </w:pPr>
    </w:p>
    <w:p w14:paraId="284ED49D" w14:textId="77777777" w:rsidR="000B1EAD" w:rsidRPr="00270761" w:rsidRDefault="000B1EAD" w:rsidP="000B1EAD">
      <w:pPr>
        <w:rPr>
          <w:rFonts w:ascii="Times New Roman" w:hAnsi="Times New Roman" w:cs="Times New Roman"/>
          <w:bCs/>
        </w:rPr>
      </w:pPr>
      <w:r w:rsidRPr="00270761">
        <w:rPr>
          <w:rFonts w:ascii="Times New Roman" w:hAnsi="Times New Roman" w:cs="Times New Roman"/>
          <w:bCs/>
        </w:rPr>
        <w:t xml:space="preserve">The measures contained in the Instrument are not an arbitrary interference with an individual’s right to privacy. An interference with privacy will not be arbitrary where it is reasonable, necessary and proportionate in the individual circumstances. </w:t>
      </w:r>
    </w:p>
    <w:p w14:paraId="733F6339" w14:textId="77777777" w:rsidR="000B1EAD" w:rsidRPr="00270761" w:rsidRDefault="000B1EAD" w:rsidP="000B1EAD">
      <w:pPr>
        <w:rPr>
          <w:rFonts w:ascii="Times New Roman" w:hAnsi="Times New Roman" w:cs="Times New Roman"/>
          <w:bCs/>
        </w:rPr>
      </w:pPr>
    </w:p>
    <w:p w14:paraId="61CE79E4" w14:textId="77777777" w:rsidR="000B1EAD" w:rsidRPr="00270761" w:rsidRDefault="000B1EAD" w:rsidP="000B1EAD">
      <w:pPr>
        <w:rPr>
          <w:rFonts w:ascii="Times New Roman" w:hAnsi="Times New Roman" w:cs="Times New Roman"/>
          <w:bCs/>
        </w:rPr>
      </w:pPr>
      <w:r w:rsidRPr="00270761">
        <w:rPr>
          <w:rFonts w:ascii="Times New Roman" w:hAnsi="Times New Roman" w:cs="Times New Roman"/>
          <w:bCs/>
        </w:rPr>
        <w:t>In designating an individual under the Regulations for targeted financial sanctions and/or travel bans, the Minister uses predictable, publicly available criteria. These criteria are designed to capture only those persons the Minister is satisfied are involved in situations of international concern, as set out in regulation 6 of the Regulations.</w:t>
      </w:r>
    </w:p>
    <w:p w14:paraId="49270727" w14:textId="77777777" w:rsidR="000B1EAD" w:rsidRPr="00270761" w:rsidRDefault="000B1EAD" w:rsidP="000B1EAD">
      <w:pPr>
        <w:rPr>
          <w:rFonts w:ascii="Times New Roman" w:hAnsi="Times New Roman" w:cs="Times New Roman"/>
          <w:bCs/>
        </w:rPr>
      </w:pPr>
    </w:p>
    <w:p w14:paraId="32D94775" w14:textId="3DC06CD7" w:rsidR="000B1EAD" w:rsidRPr="00270761" w:rsidRDefault="000B1EAD" w:rsidP="00BD0187">
      <w:pPr>
        <w:rPr>
          <w:rFonts w:ascii="Times New Roman" w:hAnsi="Times New Roman" w:cs="Times New Roman"/>
          <w:b/>
        </w:rPr>
      </w:pPr>
      <w:r w:rsidRPr="00270761">
        <w:rPr>
          <w:rFonts w:ascii="Times New Roman" w:hAnsi="Times New Roman" w:cs="Times New Roman"/>
          <w:bCs/>
        </w:rPr>
        <w:t>Accordingly, targeted financial sanctions and travel bans imposed by the Minister through the designation of specific individuals under the Regulations are reasonable, necessary and proportionate to the individual circumstances the sanctions are seeking to address. Any interference with the right to privacy created by the operation of the Instrument is not arbitrary or unlawful and is consistent with Australia’s obligations under Article 17 of the ICCPR.</w:t>
      </w:r>
      <w:r w:rsidRPr="00270761">
        <w:rPr>
          <w:rFonts w:ascii="Times New Roman" w:hAnsi="Times New Roman" w:cs="Times New Roman"/>
          <w:b/>
        </w:rPr>
        <w:br/>
      </w:r>
    </w:p>
    <w:p w14:paraId="6754DAF5" w14:textId="77777777" w:rsidR="000B1EAD" w:rsidRPr="00270761" w:rsidRDefault="000B1EAD" w:rsidP="000B1EAD">
      <w:pPr>
        <w:widowControl/>
        <w:rPr>
          <w:rFonts w:ascii="Times New Roman" w:hAnsi="Times New Roman" w:cs="Times New Roman"/>
          <w:b/>
        </w:rPr>
      </w:pPr>
      <w:r w:rsidRPr="00270761">
        <w:rPr>
          <w:rFonts w:ascii="Times New Roman" w:hAnsi="Times New Roman" w:cs="Times New Roman"/>
          <w:b/>
        </w:rPr>
        <w:t xml:space="preserve">Right to respect for the family </w:t>
      </w:r>
    </w:p>
    <w:p w14:paraId="3D60E77C" w14:textId="77777777" w:rsidR="000B1EAD" w:rsidRPr="00270761" w:rsidRDefault="000B1EAD" w:rsidP="000B1EAD">
      <w:pPr>
        <w:widowControl/>
        <w:rPr>
          <w:rFonts w:ascii="Times New Roman" w:hAnsi="Times New Roman" w:cs="Times New Roman"/>
          <w:b/>
        </w:rPr>
      </w:pPr>
    </w:p>
    <w:p w14:paraId="499D61E7" w14:textId="77777777" w:rsidR="000B1EAD" w:rsidRPr="00270761" w:rsidRDefault="000B1EAD" w:rsidP="000B1EAD">
      <w:pPr>
        <w:widowControl/>
        <w:rPr>
          <w:rFonts w:ascii="Times New Roman" w:hAnsi="Times New Roman" w:cs="Times New Roman"/>
          <w:u w:val="single"/>
        </w:rPr>
      </w:pPr>
      <w:r w:rsidRPr="00270761">
        <w:rPr>
          <w:rFonts w:ascii="Times New Roman" w:hAnsi="Times New Roman" w:cs="Times New Roman"/>
          <w:u w:val="single"/>
        </w:rPr>
        <w:t>Right</w:t>
      </w:r>
    </w:p>
    <w:p w14:paraId="35C1BD4D" w14:textId="77777777" w:rsidR="000B1EAD" w:rsidRPr="00270761" w:rsidRDefault="000B1EAD" w:rsidP="000B1EAD">
      <w:pPr>
        <w:widowControl/>
        <w:rPr>
          <w:rFonts w:ascii="Times New Roman" w:hAnsi="Times New Roman" w:cs="Times New Roman"/>
          <w:u w:val="single"/>
        </w:rPr>
      </w:pPr>
    </w:p>
    <w:p w14:paraId="6487F967"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lastRenderedPageBreak/>
        <w:t>The right to respect for the family is protected by articles 17 and 23 of the ICCPR. It covers, among other things, the separation of family members under migration laws, and arbitrary or unlawful interferences with the family.</w:t>
      </w:r>
    </w:p>
    <w:p w14:paraId="4F77DABB" w14:textId="77777777" w:rsidR="000B1EAD" w:rsidRPr="00270761" w:rsidRDefault="000B1EAD" w:rsidP="000B1EAD">
      <w:pPr>
        <w:widowControl/>
        <w:rPr>
          <w:rFonts w:ascii="Times New Roman" w:hAnsi="Times New Roman" w:cs="Times New Roman"/>
        </w:rPr>
      </w:pPr>
    </w:p>
    <w:p w14:paraId="440F0A81"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Limitations on the right to respect for the family under Articles 17 and 23 of the ICCPR will not violate those articles if the measures in question are lawful and non</w:t>
      </w:r>
      <w:r w:rsidRPr="00270761">
        <w:rPr>
          <w:rFonts w:ascii="Times New Roman" w:hAnsi="Times New Roman" w:cs="Times New Roman"/>
        </w:rPr>
        <w:noBreakHyphen/>
        <w:t xml:space="preserve">arbitrary. An interference with respect for the family will be consistent with the ICCPR where it is necessary and proportionate, in accordance with the provisions, aims and objectives of the ICCPR, and is reasonable in the individual circumstances. </w:t>
      </w:r>
    </w:p>
    <w:p w14:paraId="1012D726" w14:textId="77777777" w:rsidR="000B1EAD" w:rsidRPr="00270761" w:rsidRDefault="000B1EAD" w:rsidP="000B1EAD">
      <w:pPr>
        <w:widowControl/>
        <w:rPr>
          <w:rFonts w:ascii="Times New Roman" w:hAnsi="Times New Roman" w:cs="Times New Roman"/>
          <w:color w:val="auto"/>
        </w:rPr>
      </w:pPr>
    </w:p>
    <w:p w14:paraId="3DD48FF1" w14:textId="77777777" w:rsidR="000B1EAD" w:rsidRPr="00270761" w:rsidRDefault="000B1EAD" w:rsidP="000B1EAD">
      <w:pPr>
        <w:widowControl/>
        <w:rPr>
          <w:rFonts w:ascii="Times New Roman" w:hAnsi="Times New Roman" w:cs="Times New Roman"/>
          <w:u w:val="single"/>
        </w:rPr>
      </w:pPr>
      <w:r w:rsidRPr="00270761">
        <w:rPr>
          <w:rFonts w:ascii="Times New Roman" w:hAnsi="Times New Roman" w:cs="Times New Roman"/>
          <w:u w:val="single"/>
        </w:rPr>
        <w:t>Permissible limitations</w:t>
      </w:r>
    </w:p>
    <w:p w14:paraId="1EA2E0CD" w14:textId="77777777" w:rsidR="000B1EAD" w:rsidRPr="00270761" w:rsidRDefault="000B1EAD" w:rsidP="000B1EAD">
      <w:pPr>
        <w:widowControl/>
        <w:spacing w:before="240"/>
        <w:rPr>
          <w:rFonts w:ascii="Times New Roman" w:hAnsi="Times New Roman" w:cs="Times New Roman"/>
          <w:color w:val="auto"/>
        </w:rPr>
      </w:pPr>
      <w:r w:rsidRPr="00270761">
        <w:rPr>
          <w:rFonts w:ascii="Times New Roman" w:hAnsi="Times New Roman" w:cs="Times New Roman"/>
        </w:rPr>
        <w:t>As set out above, the autonomous sanctions regime is authorised by domestic law and</w:t>
      </w:r>
      <w:r w:rsidRPr="00270761">
        <w:rPr>
          <w:rFonts w:ascii="Times New Roman" w:hAnsi="Times New Roman" w:cs="Times New Roman"/>
          <w:color w:val="auto"/>
        </w:rPr>
        <w:t xml:space="preserve"> is not unlawful.</w:t>
      </w:r>
    </w:p>
    <w:p w14:paraId="6996E08D" w14:textId="77777777" w:rsidR="000B1EAD" w:rsidRPr="00270761" w:rsidRDefault="000B1EAD" w:rsidP="000B1EAD">
      <w:pPr>
        <w:widowControl/>
        <w:rPr>
          <w:rFonts w:ascii="Times New Roman" w:hAnsi="Times New Roman" w:cs="Times New Roman"/>
          <w:color w:val="auto"/>
        </w:rPr>
      </w:pPr>
    </w:p>
    <w:p w14:paraId="5C317762"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As the listing criteria in regulation 6 of the Regulations are drafted by reference to specific foreign countries, it is highly unlikely, as a practical matter, that a person declared for a travel ban will hold an Australian visa, usually reside in Australia and have immediate family also in Australia.</w:t>
      </w:r>
    </w:p>
    <w:p w14:paraId="70BDD599" w14:textId="77777777" w:rsidR="000B1EAD" w:rsidRPr="00270761" w:rsidRDefault="000B1EAD" w:rsidP="000B1EAD">
      <w:pPr>
        <w:widowControl/>
        <w:rPr>
          <w:rFonts w:ascii="Times New Roman" w:hAnsi="Times New Roman" w:cs="Times New Roman"/>
        </w:rPr>
      </w:pPr>
    </w:p>
    <w:p w14:paraId="3DB8371C"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 xml:space="preserve">The Department of Foreign Affairs and Trade (DFAT) consults relevant agencies as appropriate in advance of a designation and declaration of a person with known connections to Australia to determine the possible impacts of the designation and declaration on any family members in Australia. </w:t>
      </w:r>
    </w:p>
    <w:p w14:paraId="5F26EFA2" w14:textId="77777777" w:rsidR="000B1EAD" w:rsidRPr="00270761" w:rsidRDefault="000B1EAD" w:rsidP="000B1EAD">
      <w:pPr>
        <w:widowControl/>
        <w:rPr>
          <w:rFonts w:ascii="Times New Roman" w:hAnsi="Times New Roman" w:cs="Times New Roman"/>
        </w:rPr>
      </w:pPr>
    </w:p>
    <w:p w14:paraId="73C3F81C"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To the extent that the travel bans imposed pursuant to the Instrument engage and limit the right to respect for the family in a particular case, the Regulations provide sufficient flexibility to treat different cases differently. Under the Regulations, the Minister may waive the operation of a travel ban on the grounds that it would be either: (a) in the national interest; or (b) on humanitarian grounds. This provides a mechanism to address circumstances in which issues such as the possible separation of family members in Australia are involved. In addition, this decision may be judicially reviewed. Finally, were such a separation to take place, for the reasons outlined in relation to Article 17 above, such a separation would be reasonable, necessary, proportionate and justified in achieving the objective of the Instrument.</w:t>
      </w:r>
    </w:p>
    <w:p w14:paraId="40123758" w14:textId="77777777" w:rsidR="000B1EAD" w:rsidRPr="00270761" w:rsidRDefault="000B1EAD" w:rsidP="000B1EAD">
      <w:pPr>
        <w:widowControl/>
        <w:rPr>
          <w:rFonts w:ascii="Times New Roman" w:hAnsi="Times New Roman" w:cs="Times New Roman"/>
          <w:b/>
        </w:rPr>
      </w:pPr>
    </w:p>
    <w:p w14:paraId="15E1F779"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 xml:space="preserve">Accordingly, any interference with the right to respect for the family created by the operation of the Instrument is not unlawful or arbitrary, </w:t>
      </w:r>
      <w:proofErr w:type="gramStart"/>
      <w:r w:rsidRPr="00270761">
        <w:rPr>
          <w:rFonts w:ascii="Times New Roman" w:hAnsi="Times New Roman" w:cs="Times New Roman"/>
        </w:rPr>
        <w:t>and,</w:t>
      </w:r>
      <w:proofErr w:type="gramEnd"/>
      <w:r w:rsidRPr="00270761">
        <w:rPr>
          <w:rFonts w:ascii="Times New Roman" w:hAnsi="Times New Roman" w:cs="Times New Roman"/>
        </w:rPr>
        <w:t xml:space="preserve"> is consistent with Australia’s obligations under Articles 17 and 23 of the ICCPR.</w:t>
      </w:r>
    </w:p>
    <w:p w14:paraId="18DFA1E5" w14:textId="77777777" w:rsidR="000B1EAD" w:rsidRPr="00270761" w:rsidRDefault="000B1EAD" w:rsidP="000B1EAD">
      <w:pPr>
        <w:widowControl/>
        <w:rPr>
          <w:rFonts w:ascii="Times New Roman" w:hAnsi="Times New Roman" w:cs="Times New Roman"/>
          <w:b/>
        </w:rPr>
      </w:pPr>
    </w:p>
    <w:p w14:paraId="565285DD" w14:textId="77777777" w:rsidR="000B1EAD" w:rsidRPr="00270761" w:rsidRDefault="000B1EAD" w:rsidP="000B1EAD">
      <w:pPr>
        <w:keepNext/>
        <w:keepLines/>
        <w:widowControl/>
        <w:rPr>
          <w:rFonts w:ascii="Times New Roman" w:hAnsi="Times New Roman" w:cs="Times New Roman"/>
          <w:b/>
        </w:rPr>
      </w:pPr>
      <w:r w:rsidRPr="00270761">
        <w:rPr>
          <w:rFonts w:ascii="Times New Roman" w:hAnsi="Times New Roman" w:cs="Times New Roman"/>
          <w:b/>
        </w:rPr>
        <w:t>Right to an adequate standard of living</w:t>
      </w:r>
    </w:p>
    <w:p w14:paraId="36E6478D" w14:textId="77777777" w:rsidR="000B1EAD" w:rsidRPr="00270761" w:rsidRDefault="000B1EAD" w:rsidP="000B1EAD">
      <w:pPr>
        <w:keepNext/>
        <w:keepLines/>
        <w:widowControl/>
        <w:rPr>
          <w:rFonts w:ascii="Times New Roman" w:hAnsi="Times New Roman" w:cs="Times New Roman"/>
          <w:b/>
        </w:rPr>
      </w:pPr>
    </w:p>
    <w:p w14:paraId="3B53C503" w14:textId="77777777" w:rsidR="000B1EAD" w:rsidRPr="00270761" w:rsidRDefault="000B1EAD" w:rsidP="000B1EAD">
      <w:pPr>
        <w:keepNext/>
        <w:keepLines/>
        <w:widowControl/>
        <w:rPr>
          <w:rFonts w:ascii="Times New Roman" w:hAnsi="Times New Roman" w:cs="Times New Roman"/>
          <w:u w:val="single"/>
        </w:rPr>
      </w:pPr>
      <w:r w:rsidRPr="00270761">
        <w:rPr>
          <w:rFonts w:ascii="Times New Roman" w:hAnsi="Times New Roman" w:cs="Times New Roman"/>
          <w:u w:val="single"/>
        </w:rPr>
        <w:t>Right</w:t>
      </w:r>
    </w:p>
    <w:p w14:paraId="17B9E74C" w14:textId="77777777" w:rsidR="000B1EAD" w:rsidRPr="00270761" w:rsidRDefault="000B1EAD" w:rsidP="000B1EAD">
      <w:pPr>
        <w:keepNext/>
        <w:keepLines/>
        <w:widowControl/>
        <w:spacing w:before="240"/>
        <w:rPr>
          <w:rFonts w:ascii="Times New Roman" w:hAnsi="Times New Roman" w:cs="Times New Roman"/>
        </w:rPr>
      </w:pPr>
      <w:r w:rsidRPr="00270761">
        <w:rPr>
          <w:rFonts w:ascii="Times New Roman" w:hAnsi="Times New Roman" w:cs="Times New Roman"/>
        </w:rPr>
        <w:t>The right to an adequate standard of living is contained in Article 11(1) of the International Covenant on Economic, Social and Cultural Rights (ICESCR) and requires States to ensure the availability and accessibility of the resources that are essential to the realisation of the right: namely, food, water, and housing.</w:t>
      </w:r>
    </w:p>
    <w:p w14:paraId="51EB14F7" w14:textId="77777777" w:rsidR="000B1EAD" w:rsidRPr="00270761" w:rsidRDefault="000B1EAD" w:rsidP="000B1EAD">
      <w:pPr>
        <w:widowControl/>
        <w:rPr>
          <w:rFonts w:ascii="Times New Roman" w:hAnsi="Times New Roman" w:cs="Times New Roman"/>
        </w:rPr>
      </w:pPr>
    </w:p>
    <w:p w14:paraId="42903713"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lastRenderedPageBreak/>
        <w:t>Article 4 of the ICESCR provides that this right may be subject to such limitations ‘as are determined by law only in so far as this may be compatible with the nature of these rights and solely for the purpose of promoting the general welfare in a democratic society’. To be consistent with the ICESCR, limitations must be proportionate.</w:t>
      </w:r>
    </w:p>
    <w:p w14:paraId="319DAA98" w14:textId="77777777" w:rsidR="000B1EAD" w:rsidRPr="00270761" w:rsidRDefault="000B1EAD" w:rsidP="000B1EAD">
      <w:pPr>
        <w:widowControl/>
        <w:rPr>
          <w:rFonts w:ascii="Times New Roman" w:hAnsi="Times New Roman" w:cs="Times New Roman"/>
          <w:u w:val="single"/>
        </w:rPr>
      </w:pPr>
    </w:p>
    <w:p w14:paraId="08A66921" w14:textId="77777777" w:rsidR="000B1EAD" w:rsidRPr="00270761" w:rsidRDefault="000B1EAD" w:rsidP="000B1EAD">
      <w:pPr>
        <w:widowControl/>
        <w:rPr>
          <w:rFonts w:ascii="Times New Roman" w:hAnsi="Times New Roman" w:cs="Times New Roman"/>
          <w:u w:val="single"/>
        </w:rPr>
      </w:pPr>
      <w:r w:rsidRPr="00270761">
        <w:rPr>
          <w:rFonts w:ascii="Times New Roman" w:hAnsi="Times New Roman" w:cs="Times New Roman"/>
          <w:u w:val="single"/>
        </w:rPr>
        <w:t>Permissible limitations</w:t>
      </w:r>
    </w:p>
    <w:p w14:paraId="731BDDA5" w14:textId="77777777" w:rsidR="000B1EAD" w:rsidRPr="00270761" w:rsidRDefault="000B1EAD" w:rsidP="000B1EAD">
      <w:pPr>
        <w:widowControl/>
        <w:spacing w:before="240"/>
        <w:rPr>
          <w:rFonts w:ascii="Times New Roman" w:hAnsi="Times New Roman" w:cs="Times New Roman"/>
        </w:rPr>
      </w:pPr>
      <w:r w:rsidRPr="00270761">
        <w:rPr>
          <w:rFonts w:ascii="Times New Roman" w:hAnsi="Times New Roman" w:cs="Times New Roman"/>
        </w:rPr>
        <w:t>Any limitation on the enjoyment of Article 11(1), to the extent that it occurs, is reasonable and necessary to achieve the objective of the Instrument and are proportionate due to the targeted nature of listings. The Regulations also provide sufficient flexibility to treat different cases differently by allowing for any adverse impacts on family members as a consequence of targeted financial sanctions to be mitigated. The Regulations provide for the payment of basic expenses (among others) in certain circumstances. The objective of the ‘basic expenses exemption’ in regulation 20 is, in part, to enable the Australian Government to administer the sanctions regime in a manner compatible with relevant human rights standards.</w:t>
      </w:r>
    </w:p>
    <w:p w14:paraId="0F12E7CC" w14:textId="77777777" w:rsidR="000B1EAD" w:rsidRPr="00270761" w:rsidRDefault="000B1EAD" w:rsidP="000B1EAD">
      <w:pPr>
        <w:widowControl/>
        <w:rPr>
          <w:rFonts w:ascii="Times New Roman" w:hAnsi="Times New Roman" w:cs="Times New Roman"/>
        </w:rPr>
      </w:pPr>
    </w:p>
    <w:p w14:paraId="63534377"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The permit process is a flexible and effective safeguard on any limitation to the enjoyment of Article 11(1).</w:t>
      </w:r>
    </w:p>
    <w:p w14:paraId="0C501B94" w14:textId="77777777" w:rsidR="000B1EAD" w:rsidRPr="00270761" w:rsidRDefault="000B1EAD" w:rsidP="000B1EAD">
      <w:pPr>
        <w:widowControl/>
        <w:rPr>
          <w:rFonts w:ascii="Times New Roman" w:hAnsi="Times New Roman" w:cs="Times New Roman"/>
        </w:rPr>
      </w:pPr>
    </w:p>
    <w:p w14:paraId="783EAD17" w14:textId="77777777" w:rsidR="000B1EAD" w:rsidRPr="00270761" w:rsidRDefault="000B1EAD" w:rsidP="000B1EAD">
      <w:pPr>
        <w:widowControl/>
        <w:rPr>
          <w:rFonts w:ascii="Times New Roman" w:hAnsi="Times New Roman" w:cs="Times New Roman"/>
          <w:b/>
          <w:lang w:val="en-GB"/>
        </w:rPr>
      </w:pPr>
      <w:r w:rsidRPr="00270761">
        <w:rPr>
          <w:rFonts w:ascii="Times New Roman" w:hAnsi="Times New Roman" w:cs="Times New Roman"/>
          <w:b/>
          <w:lang w:val="en-GB"/>
        </w:rPr>
        <w:t>Right to freedom of movement</w:t>
      </w:r>
    </w:p>
    <w:p w14:paraId="178351A1" w14:textId="77777777" w:rsidR="000B1EAD" w:rsidRPr="00270761" w:rsidRDefault="000B1EAD" w:rsidP="000B1EAD">
      <w:pPr>
        <w:widowControl/>
        <w:rPr>
          <w:rFonts w:ascii="Times New Roman" w:hAnsi="Times New Roman" w:cs="Times New Roman"/>
          <w:lang w:val="en-GB"/>
        </w:rPr>
      </w:pPr>
    </w:p>
    <w:p w14:paraId="23DF5426" w14:textId="77777777" w:rsidR="000B1EAD" w:rsidRPr="00270761" w:rsidRDefault="000B1EAD" w:rsidP="000B1EAD">
      <w:pPr>
        <w:widowControl/>
        <w:rPr>
          <w:rFonts w:ascii="Times New Roman" w:hAnsi="Times New Roman" w:cs="Times New Roman"/>
          <w:u w:val="single"/>
          <w:lang w:val="en-GB"/>
        </w:rPr>
      </w:pPr>
      <w:r w:rsidRPr="00270761">
        <w:rPr>
          <w:rFonts w:ascii="Times New Roman" w:hAnsi="Times New Roman" w:cs="Times New Roman"/>
          <w:u w:val="single"/>
          <w:lang w:val="en-GB"/>
        </w:rPr>
        <w:t>Right</w:t>
      </w:r>
    </w:p>
    <w:p w14:paraId="49ABF44B" w14:textId="77777777" w:rsidR="000B1EAD" w:rsidRPr="00270761" w:rsidRDefault="000B1EAD" w:rsidP="000B1EAD">
      <w:pPr>
        <w:widowControl/>
        <w:spacing w:before="240"/>
        <w:rPr>
          <w:rFonts w:ascii="Times New Roman" w:hAnsi="Times New Roman" w:cs="Times New Roman"/>
          <w:lang w:val="en-GB"/>
        </w:rPr>
      </w:pPr>
      <w:r w:rsidRPr="00270761">
        <w:rPr>
          <w:rFonts w:ascii="Times New Roman" w:hAnsi="Times New Roman" w:cs="Times New Roman"/>
          <w:lang w:val="en-GB"/>
        </w:rPr>
        <w:t xml:space="preserve">Article 12 of the ICCPR protects the right to freedom of movement, which includes a right to leave Australia, as well as the right to enter, remain, or return to one’s ‘own country’. </w:t>
      </w:r>
    </w:p>
    <w:p w14:paraId="64C7CDD1" w14:textId="77777777" w:rsidR="000B1EAD" w:rsidRPr="00270761" w:rsidRDefault="000B1EAD" w:rsidP="000B1EAD">
      <w:pPr>
        <w:widowControl/>
        <w:rPr>
          <w:rFonts w:ascii="Times New Roman" w:hAnsi="Times New Roman" w:cs="Times New Roman"/>
          <w:lang w:val="en-GB"/>
        </w:rPr>
      </w:pPr>
    </w:p>
    <w:p w14:paraId="602FAC55" w14:textId="77777777" w:rsidR="000B1EAD" w:rsidRPr="00270761" w:rsidRDefault="000B1EAD" w:rsidP="000B1EAD">
      <w:pPr>
        <w:widowControl/>
        <w:rPr>
          <w:rFonts w:ascii="Times New Roman" w:hAnsi="Times New Roman" w:cs="Times New Roman"/>
          <w:lang w:val="en-GB"/>
        </w:rPr>
      </w:pPr>
      <w:r w:rsidRPr="00270761">
        <w:rPr>
          <w:rFonts w:ascii="Times New Roman" w:hAnsi="Times New Roman" w:cs="Times New Roman"/>
          <w:lang w:val="en-GB"/>
        </w:rPr>
        <w:t xml:space="preserve">The right to freedom of movement may be restricted under domestic law on any of the grounds in Article 12(3) of the ICCPR, namely national security, public order, public health or morals or the rights and freedoms of others. Any limitation on the enjoyment of the right also needs to be reasonable, </w:t>
      </w:r>
      <w:proofErr w:type="gramStart"/>
      <w:r w:rsidRPr="00270761">
        <w:rPr>
          <w:rFonts w:ascii="Times New Roman" w:hAnsi="Times New Roman" w:cs="Times New Roman"/>
          <w:lang w:val="en-GB"/>
        </w:rPr>
        <w:t>necessary</w:t>
      </w:r>
      <w:proofErr w:type="gramEnd"/>
      <w:r w:rsidRPr="00270761">
        <w:rPr>
          <w:rFonts w:ascii="Times New Roman" w:hAnsi="Times New Roman" w:cs="Times New Roman"/>
          <w:lang w:val="en-GB"/>
        </w:rPr>
        <w:t xml:space="preserve"> and proportionate.</w:t>
      </w:r>
    </w:p>
    <w:p w14:paraId="1FF317D1" w14:textId="77777777" w:rsidR="000B1EAD" w:rsidRPr="00270761" w:rsidRDefault="000B1EAD" w:rsidP="000B1EAD">
      <w:pPr>
        <w:widowControl/>
        <w:rPr>
          <w:rFonts w:ascii="Times New Roman" w:hAnsi="Times New Roman" w:cs="Times New Roman"/>
          <w:i/>
          <w:lang w:val="en-GB"/>
        </w:rPr>
      </w:pPr>
    </w:p>
    <w:p w14:paraId="4BE565B9" w14:textId="77777777" w:rsidR="000B1EAD" w:rsidRPr="00270761" w:rsidRDefault="000B1EAD" w:rsidP="000B1EAD">
      <w:pPr>
        <w:widowControl/>
        <w:rPr>
          <w:rFonts w:ascii="Times New Roman" w:hAnsi="Times New Roman" w:cs="Times New Roman"/>
          <w:u w:val="single"/>
          <w:lang w:val="en-GB"/>
        </w:rPr>
      </w:pPr>
      <w:r w:rsidRPr="00270761">
        <w:rPr>
          <w:rFonts w:ascii="Times New Roman" w:hAnsi="Times New Roman" w:cs="Times New Roman"/>
          <w:u w:val="single"/>
          <w:lang w:val="en-GB"/>
        </w:rPr>
        <w:t>Permissible limitations</w:t>
      </w:r>
    </w:p>
    <w:p w14:paraId="3A7C37E9" w14:textId="77777777" w:rsidR="000B1EAD" w:rsidRPr="00270761" w:rsidRDefault="000B1EAD" w:rsidP="000B1EAD">
      <w:pPr>
        <w:widowControl/>
        <w:rPr>
          <w:rFonts w:ascii="Times New Roman" w:hAnsi="Times New Roman" w:cs="Times New Roman"/>
          <w:lang w:val="en-GB"/>
        </w:rPr>
      </w:pPr>
    </w:p>
    <w:p w14:paraId="4A79A6FB" w14:textId="77777777" w:rsidR="000B1EAD" w:rsidRPr="00270761" w:rsidRDefault="000B1EAD" w:rsidP="000B1EAD">
      <w:r w:rsidRPr="00270761">
        <w:t>As the listing criteria in regulation 6 of the Regulations are drafted by reference to specific foreign countries, it is highly unlikely, as a practical matter, that a person declared for a travel ban would be an Australian citizen, or have spent such lengths of time in Australia, such that Australia could be considered their ‘own country’. Furthermore, travel bans – which are a power to refuse a visa and to cancel a visa – do not apply to Australian citizens.</w:t>
      </w:r>
    </w:p>
    <w:p w14:paraId="3807D402" w14:textId="77777777" w:rsidR="000B1EAD" w:rsidRPr="00270761" w:rsidRDefault="000B1EAD" w:rsidP="000B1EAD">
      <w:pPr>
        <w:widowControl/>
        <w:rPr>
          <w:rFonts w:ascii="Times New Roman" w:hAnsi="Times New Roman" w:cs="Times New Roman"/>
          <w:lang w:val="en-GB"/>
        </w:rPr>
      </w:pPr>
    </w:p>
    <w:p w14:paraId="1F5D2EFD" w14:textId="77777777" w:rsidR="000B1EAD" w:rsidRPr="00270761" w:rsidRDefault="000B1EAD" w:rsidP="000B1EAD">
      <w:pPr>
        <w:widowControl/>
        <w:rPr>
          <w:rFonts w:ascii="Times New Roman" w:hAnsi="Times New Roman" w:cs="Times New Roman"/>
          <w:lang w:val="en-GB"/>
        </w:rPr>
      </w:pPr>
      <w:r w:rsidRPr="00270761">
        <w:rPr>
          <w:rFonts w:ascii="Times New Roman" w:hAnsi="Times New Roman" w:cs="Times New Roman"/>
          <w:lang w:val="en-GB"/>
        </w:rPr>
        <w:t xml:space="preserve">To the extent that Article 12(4) is engaged in an individual case, such that a person listed in the Instrument is prevented from entering Australia as their ‘own country’, the imposition of the travel ban would be justified. </w:t>
      </w:r>
    </w:p>
    <w:p w14:paraId="54E066B7" w14:textId="77777777" w:rsidR="000B1EAD" w:rsidRPr="00270761" w:rsidRDefault="000B1EAD" w:rsidP="000B1EAD">
      <w:pPr>
        <w:widowControl/>
        <w:rPr>
          <w:rFonts w:ascii="Times New Roman" w:hAnsi="Times New Roman" w:cs="Times New Roman"/>
          <w:lang w:val="en-GB"/>
        </w:rPr>
      </w:pPr>
    </w:p>
    <w:p w14:paraId="3FD16D45" w14:textId="77777777" w:rsidR="000B1EAD" w:rsidRPr="00270761" w:rsidRDefault="000B1EAD" w:rsidP="000B1EAD">
      <w:pPr>
        <w:widowControl/>
        <w:rPr>
          <w:rFonts w:ascii="Times New Roman" w:hAnsi="Times New Roman" w:cs="Times New Roman"/>
          <w:lang w:val="en-GB"/>
        </w:rPr>
      </w:pPr>
      <w:r w:rsidRPr="00270761">
        <w:rPr>
          <w:rFonts w:ascii="Times New Roman" w:hAnsi="Times New Roman" w:cs="Times New Roman"/>
          <w:lang w:val="en-GB"/>
        </w:rPr>
        <w:t xml:space="preserve">As set out above in relation to Article 17 of the ICCPR, travel bans are a reasonable, </w:t>
      </w:r>
      <w:proofErr w:type="gramStart"/>
      <w:r w:rsidRPr="00270761">
        <w:rPr>
          <w:rFonts w:ascii="Times New Roman" w:hAnsi="Times New Roman" w:cs="Times New Roman"/>
          <w:lang w:val="en-GB"/>
        </w:rPr>
        <w:t>necessary</w:t>
      </w:r>
      <w:proofErr w:type="gramEnd"/>
      <w:r w:rsidRPr="00270761">
        <w:rPr>
          <w:rFonts w:ascii="Times New Roman" w:hAnsi="Times New Roman" w:cs="Times New Roman"/>
          <w:lang w:val="en-GB"/>
        </w:rPr>
        <w:t xml:space="preserve"> and proportionate means of achieving the legitimate objectives of Australia’s autonomous sanctions regime. Travel bans are reasonable because they are </w:t>
      </w:r>
      <w:r w:rsidRPr="00270761">
        <w:rPr>
          <w:rFonts w:ascii="Times New Roman" w:hAnsi="Times New Roman" w:cs="Times New Roman"/>
          <w:lang w:val="en-GB"/>
        </w:rPr>
        <w:lastRenderedPageBreak/>
        <w:t xml:space="preserve">only imposed on persons who the Minister is satisfied are responsible for giving rise to situations of international concern. </w:t>
      </w:r>
    </w:p>
    <w:p w14:paraId="6059D465" w14:textId="77777777" w:rsidR="000B1EAD" w:rsidRPr="00270761" w:rsidRDefault="000B1EAD" w:rsidP="000B1EAD">
      <w:pPr>
        <w:widowControl/>
        <w:rPr>
          <w:rFonts w:ascii="Times New Roman" w:hAnsi="Times New Roman" w:cs="Times New Roman"/>
          <w:lang w:val="en-GB"/>
        </w:rPr>
      </w:pPr>
    </w:p>
    <w:p w14:paraId="713608D8" w14:textId="77777777" w:rsidR="000B1EAD" w:rsidRPr="00270761" w:rsidRDefault="000B1EAD" w:rsidP="000B1EAD">
      <w:pPr>
        <w:widowControl/>
        <w:rPr>
          <w:rFonts w:ascii="Times New Roman" w:hAnsi="Times New Roman" w:cs="Times New Roman"/>
          <w:lang w:val="en-GB"/>
        </w:rPr>
      </w:pPr>
      <w:r w:rsidRPr="00270761">
        <w:rPr>
          <w:rFonts w:ascii="Times New Roman" w:hAnsi="Times New Roman" w:cs="Times New Roman"/>
          <w:lang w:val="en-GB"/>
        </w:rPr>
        <w:t xml:space="preserve">Preventing a person who is, for example, complicit in the threat to the sovereignty and territorial integrity of Ukraine, is </w:t>
      </w:r>
      <w:r w:rsidRPr="00270761">
        <w:rPr>
          <w:shd w:val="clear" w:color="auto" w:fill="FFFFFF"/>
        </w:rPr>
        <w:t>engaging in activity or performing a function that is of economic or strategic influence to Russia or is an immediate family member of such person,</w:t>
      </w:r>
      <w:r w:rsidRPr="00270761">
        <w:rPr>
          <w:rFonts w:ascii="Times New Roman" w:hAnsi="Times New Roman" w:cs="Times New Roman"/>
          <w:lang w:val="en-GB"/>
        </w:rPr>
        <w:t xml:space="preserve"> from travelling to, entering or remaining in Australia through operation of the Instrument, is a reasonable means to achieve the legitimate foreign policy objective of signalling Australia’s concerns about the situation in Ukraine. Australia’s practice in this respect is consistent with that of other countries such as the United States, the United Kingdom and Canada.</w:t>
      </w:r>
    </w:p>
    <w:p w14:paraId="40FE44B9" w14:textId="77777777" w:rsidR="000B1EAD" w:rsidRPr="00270761" w:rsidRDefault="000B1EAD" w:rsidP="000B1EAD">
      <w:pPr>
        <w:widowControl/>
        <w:rPr>
          <w:rFonts w:ascii="Times New Roman" w:hAnsi="Times New Roman" w:cs="Times New Roman"/>
          <w:lang w:val="en-GB"/>
        </w:rPr>
      </w:pPr>
    </w:p>
    <w:p w14:paraId="759F4997" w14:textId="77777777" w:rsidR="000B1EAD" w:rsidRPr="00270761" w:rsidRDefault="000B1EAD" w:rsidP="000B1EAD">
      <w:pPr>
        <w:widowControl/>
        <w:rPr>
          <w:rFonts w:ascii="Times New Roman" w:hAnsi="Times New Roman" w:cs="Times New Roman"/>
          <w:lang w:val="en-GB"/>
        </w:rPr>
      </w:pPr>
      <w:r w:rsidRPr="00270761">
        <w:rPr>
          <w:rFonts w:ascii="Times New Roman" w:hAnsi="Times New Roman" w:cs="Times New Roman"/>
          <w:lang w:val="en-GB"/>
        </w:rPr>
        <w:t xml:space="preserve">The Minister may also waive the operation of a declaration that was made for the purpose of preventing a person from travelling to, </w:t>
      </w:r>
      <w:proofErr w:type="gramStart"/>
      <w:r w:rsidRPr="00270761">
        <w:rPr>
          <w:rFonts w:ascii="Times New Roman" w:hAnsi="Times New Roman" w:cs="Times New Roman"/>
          <w:lang w:val="en-GB"/>
        </w:rPr>
        <w:t>entering</w:t>
      </w:r>
      <w:proofErr w:type="gramEnd"/>
      <w:r w:rsidRPr="00270761">
        <w:rPr>
          <w:rFonts w:ascii="Times New Roman" w:hAnsi="Times New Roman" w:cs="Times New Roman"/>
          <w:lang w:val="en-GB"/>
        </w:rPr>
        <w:t xml:space="preserve"> or remaining in Australia, on the grounds that it would be in the national interest, or on humanitarian grounds. This decision is subject to natural justice </w:t>
      </w:r>
      <w:proofErr w:type="gramStart"/>
      <w:r w:rsidRPr="00270761">
        <w:rPr>
          <w:rFonts w:ascii="Times New Roman" w:hAnsi="Times New Roman" w:cs="Times New Roman"/>
          <w:lang w:val="en-GB"/>
        </w:rPr>
        <w:t>requirements, and</w:t>
      </w:r>
      <w:proofErr w:type="gramEnd"/>
      <w:r w:rsidRPr="00270761">
        <w:rPr>
          <w:rFonts w:ascii="Times New Roman" w:hAnsi="Times New Roman" w:cs="Times New Roman"/>
          <w:lang w:val="en-GB"/>
        </w:rPr>
        <w:t xml:space="preserve"> may be judicially reviewed.</w:t>
      </w:r>
    </w:p>
    <w:p w14:paraId="7AD724A2" w14:textId="77777777" w:rsidR="000B1EAD" w:rsidRPr="00270761" w:rsidRDefault="000B1EAD" w:rsidP="000B1EAD">
      <w:pPr>
        <w:rPr>
          <w:b/>
          <w:lang w:val="en-GB"/>
        </w:rPr>
      </w:pPr>
    </w:p>
    <w:p w14:paraId="2AA54194" w14:textId="77777777" w:rsidR="000B1EAD" w:rsidRPr="00270761" w:rsidRDefault="000B1EAD" w:rsidP="000B1EAD">
      <w:pPr>
        <w:rPr>
          <w:b/>
          <w:lang w:val="en-GB"/>
        </w:rPr>
      </w:pPr>
      <w:r w:rsidRPr="00270761">
        <w:rPr>
          <w:b/>
          <w:lang w:val="en-GB"/>
        </w:rPr>
        <w:t xml:space="preserve">Non-refoulement </w:t>
      </w:r>
    </w:p>
    <w:p w14:paraId="20D1A5CE" w14:textId="77777777" w:rsidR="000B1EAD" w:rsidRPr="00270761" w:rsidRDefault="000B1EAD" w:rsidP="000B1EAD">
      <w:pPr>
        <w:rPr>
          <w:lang w:val="en-GB"/>
        </w:rPr>
      </w:pPr>
    </w:p>
    <w:p w14:paraId="25D29DEA" w14:textId="77777777" w:rsidR="000B1EAD" w:rsidRPr="00270761" w:rsidRDefault="000B1EAD" w:rsidP="000B1EAD">
      <w:pPr>
        <w:rPr>
          <w:u w:val="single"/>
          <w:lang w:val="en-GB"/>
        </w:rPr>
      </w:pPr>
      <w:r w:rsidRPr="00270761">
        <w:rPr>
          <w:u w:val="single"/>
          <w:lang w:val="en-GB"/>
        </w:rPr>
        <w:t>Right</w:t>
      </w:r>
    </w:p>
    <w:p w14:paraId="1C00D7D4" w14:textId="77777777" w:rsidR="000B1EAD" w:rsidRPr="00270761" w:rsidRDefault="000B1EAD" w:rsidP="000B1EAD">
      <w:pPr>
        <w:rPr>
          <w:lang w:val="en-GB"/>
        </w:rPr>
      </w:pPr>
    </w:p>
    <w:p w14:paraId="67648DDF" w14:textId="77777777" w:rsidR="000B1EAD" w:rsidRPr="00270761" w:rsidRDefault="000B1EAD" w:rsidP="000B1EAD">
      <w:pPr>
        <w:rPr>
          <w:rFonts w:eastAsiaTheme="minorHAnsi"/>
          <w:lang w:val="en-GB"/>
        </w:rPr>
      </w:pPr>
      <w:r w:rsidRPr="00270761">
        <w:rPr>
          <w:lang w:val="en-GB"/>
        </w:rPr>
        <w:t xml:space="preserve">The obligations relating to the prohibition on torture and other cruel, </w:t>
      </w:r>
      <w:proofErr w:type="gramStart"/>
      <w:r w:rsidRPr="00270761">
        <w:rPr>
          <w:lang w:val="en-GB"/>
        </w:rPr>
        <w:t>inhuman</w:t>
      </w:r>
      <w:proofErr w:type="gramEnd"/>
      <w:r w:rsidRPr="00270761">
        <w:rPr>
          <w:lang w:val="en-GB"/>
        </w:rPr>
        <w:t xml:space="preserve"> or degrading treatment or punishment under Article 3 of the Convention Against Torture and Other Cruel, Inhuman or Degrading Treatment or Punishment (the CAT) and Article 7 of the ICCPR, as well as Article 6 of the ICCPR on the right to life and prohibition on arbitrary deprivation of life, are engaged by the travel restrictions in the Instrument. There is no permissible derogation from these implied or express non</w:t>
      </w:r>
      <w:r w:rsidRPr="00270761">
        <w:rPr>
          <w:lang w:val="en-GB"/>
        </w:rPr>
        <w:noBreakHyphen/>
        <w:t xml:space="preserve">refoulement obligations. </w:t>
      </w:r>
    </w:p>
    <w:p w14:paraId="17A38426" w14:textId="77777777" w:rsidR="000B1EAD" w:rsidRPr="00270761" w:rsidRDefault="000B1EAD" w:rsidP="000B1EAD"/>
    <w:p w14:paraId="77115B00" w14:textId="77777777" w:rsidR="000B1EAD" w:rsidRPr="00270761" w:rsidRDefault="000B1EAD" w:rsidP="000B1EAD">
      <w:pPr>
        <w:rPr>
          <w:u w:val="single"/>
          <w:lang w:val="en-GB"/>
        </w:rPr>
      </w:pPr>
      <w:r w:rsidRPr="00270761">
        <w:rPr>
          <w:u w:val="single"/>
          <w:lang w:val="en-GB"/>
        </w:rPr>
        <w:t>Permissible limitations</w:t>
      </w:r>
    </w:p>
    <w:p w14:paraId="6FDD0DDA" w14:textId="77777777" w:rsidR="000B1EAD" w:rsidRPr="00270761" w:rsidRDefault="000B1EAD" w:rsidP="000B1EAD">
      <w:pPr>
        <w:widowControl/>
        <w:rPr>
          <w:rFonts w:ascii="Times New Roman" w:hAnsi="Times New Roman" w:cs="Times New Roman"/>
          <w:lang w:val="en-GB"/>
        </w:rPr>
      </w:pPr>
    </w:p>
    <w:p w14:paraId="0E6951F8" w14:textId="77777777" w:rsidR="000B1EAD" w:rsidRPr="00270761" w:rsidRDefault="000B1EAD" w:rsidP="000B1EAD">
      <w:pPr>
        <w:widowControl/>
        <w:rPr>
          <w:lang w:val="en-GB"/>
        </w:rPr>
      </w:pPr>
      <w:r w:rsidRPr="00270761">
        <w:rPr>
          <w:rFonts w:ascii="Times New Roman" w:hAnsi="Times New Roman" w:cs="Times New Roman"/>
          <w:lang w:val="en-GB"/>
        </w:rPr>
        <w:t xml:space="preserve">To the extent that </w:t>
      </w:r>
      <w:r w:rsidRPr="00270761">
        <w:rPr>
          <w:lang w:val="en-GB"/>
        </w:rPr>
        <w:t xml:space="preserve">the travel bans imposed pursuant to the Instrument engage </w:t>
      </w:r>
      <w:r w:rsidRPr="00270761">
        <w:rPr>
          <w:rFonts w:ascii="Times New Roman" w:hAnsi="Times New Roman" w:cs="Times New Roman"/>
          <w:lang w:val="en-GB"/>
        </w:rPr>
        <w:t xml:space="preserve">Australia’s non-refoulement obligations, </w:t>
      </w:r>
      <w:r w:rsidRPr="00270761">
        <w:rPr>
          <w:lang w:val="en-GB"/>
        </w:rPr>
        <w:t>the Regulations allow the Minister to waive the operation of</w:t>
      </w:r>
      <w:r w:rsidRPr="00270761">
        <w:rPr>
          <w:rFonts w:ascii="Times New Roman" w:hAnsi="Times New Roman" w:cs="Times New Roman"/>
          <w:lang w:val="en-GB"/>
        </w:rPr>
        <w:t xml:space="preserve"> a travel ban on the </w:t>
      </w:r>
      <w:r w:rsidRPr="00270761">
        <w:rPr>
          <w:lang w:val="en-GB"/>
        </w:rPr>
        <w:t xml:space="preserve">grounds that it would be either: (a) in the national interest; or (b) on humanitarian grounds. </w:t>
      </w:r>
    </w:p>
    <w:p w14:paraId="797A4E9D" w14:textId="77777777" w:rsidR="000B1EAD" w:rsidRPr="00270761" w:rsidRDefault="000B1EAD" w:rsidP="000B1EAD">
      <w:pPr>
        <w:widowControl/>
        <w:rPr>
          <w:lang w:val="en-GB"/>
        </w:rPr>
      </w:pPr>
    </w:p>
    <w:p w14:paraId="6426CDBA" w14:textId="77777777" w:rsidR="000B1EAD" w:rsidRPr="00270761" w:rsidRDefault="000B1EAD" w:rsidP="000B1EAD">
      <w:pPr>
        <w:widowControl/>
        <w:rPr>
          <w:rFonts w:ascii="Times New Roman" w:hAnsi="Times New Roman" w:cs="Times New Roman"/>
          <w:lang w:val="en-GB"/>
        </w:rPr>
      </w:pPr>
      <w:r w:rsidRPr="00270761">
        <w:t xml:space="preserve">A travel ban may lead to the cancellation of a visa held by a non-citizen lawfully in Australia, which can lead to removal under section 198 </w:t>
      </w:r>
      <w:r w:rsidRPr="00270761">
        <w:rPr>
          <w:rFonts w:ascii="Times New Roman" w:hAnsi="Times New Roman" w:cs="Times New Roman"/>
          <w:lang w:val="en-GB"/>
        </w:rPr>
        <w:t xml:space="preserve">of the </w:t>
      </w:r>
      <w:r w:rsidRPr="00270761">
        <w:rPr>
          <w:rFonts w:ascii="Times New Roman" w:hAnsi="Times New Roman" w:cs="Times New Roman"/>
          <w:i/>
          <w:lang w:val="en-GB"/>
        </w:rPr>
        <w:t>Migration Act 1958</w:t>
      </w:r>
      <w:r w:rsidRPr="00270761">
        <w:rPr>
          <w:rFonts w:ascii="Times New Roman" w:hAnsi="Times New Roman" w:cs="Times New Roman"/>
          <w:lang w:val="en-GB"/>
        </w:rPr>
        <w:t xml:space="preserve">. Australia will continue to meet its non-refoulement obligations through mechanisms prior to the person becoming available for removal under the </w:t>
      </w:r>
      <w:r w:rsidRPr="00270761">
        <w:rPr>
          <w:rFonts w:ascii="Times New Roman" w:hAnsi="Times New Roman" w:cs="Times New Roman"/>
          <w:i/>
          <w:lang w:val="en-GB"/>
        </w:rPr>
        <w:t>Migration Act 1958</w:t>
      </w:r>
      <w:r w:rsidRPr="00270761">
        <w:rPr>
          <w:rFonts w:ascii="Times New Roman" w:hAnsi="Times New Roman" w:cs="Times New Roman"/>
          <w:lang w:val="en-GB"/>
        </w:rPr>
        <w:t xml:space="preserve">, including through the protection visa application process, and through the use of the Minister for Home Affairs’ personal powers in the </w:t>
      </w:r>
      <w:r w:rsidRPr="00270761">
        <w:rPr>
          <w:rFonts w:ascii="Times New Roman" w:hAnsi="Times New Roman" w:cs="Times New Roman"/>
          <w:i/>
          <w:lang w:val="en-GB"/>
        </w:rPr>
        <w:t>Migration Act 1958</w:t>
      </w:r>
      <w:r w:rsidRPr="00270761">
        <w:rPr>
          <w:rFonts w:ascii="Times New Roman" w:hAnsi="Times New Roman" w:cs="Times New Roman"/>
          <w:lang w:val="en-GB"/>
        </w:rPr>
        <w:t xml:space="preserve">. </w:t>
      </w:r>
    </w:p>
    <w:p w14:paraId="3FAF399A" w14:textId="77777777" w:rsidR="000B1EAD" w:rsidRPr="00270761" w:rsidRDefault="000B1EAD" w:rsidP="000B1EAD">
      <w:pPr>
        <w:widowControl/>
        <w:rPr>
          <w:rFonts w:ascii="Times New Roman" w:hAnsi="Times New Roman" w:cs="Times New Roman"/>
          <w:lang w:val="en-GB"/>
        </w:rPr>
      </w:pPr>
    </w:p>
    <w:p w14:paraId="4041AB67" w14:textId="77777777" w:rsidR="000B1EAD" w:rsidRPr="00270761" w:rsidRDefault="000B1EAD" w:rsidP="000B1EAD">
      <w:r w:rsidRPr="00270761">
        <w:t xml:space="preserve">The Instrument is consistent with Australia’s international non-refoulement obligations as, </w:t>
      </w:r>
      <w:r w:rsidRPr="00270761">
        <w:rPr>
          <w:bCs/>
        </w:rPr>
        <w:t>together with the Foreign Minister’s powers to revoke a declaration or waive its operation in an individual case,</w:t>
      </w:r>
      <w:r w:rsidRPr="00270761">
        <w:t xml:space="preserve"> non</w:t>
      </w:r>
      <w:r w:rsidRPr="00270761">
        <w:noBreakHyphen/>
        <w:t xml:space="preserve">refoulement obligations are considered prior to a person becoming available for removal under the </w:t>
      </w:r>
      <w:r w:rsidRPr="00270761">
        <w:rPr>
          <w:i/>
        </w:rPr>
        <w:t>Migration Act 1958</w:t>
      </w:r>
      <w:r w:rsidRPr="00270761">
        <w:t xml:space="preserve">.  A person must not be removed from Australia to another country if there is a real risk that the person may be subjected to arbitrary deprivation of life, the death penalty, </w:t>
      </w:r>
      <w:r w:rsidRPr="00270761">
        <w:lastRenderedPageBreak/>
        <w:t>torture, cruel or inhuman treatment or punishment, or degrading treatment or punishment.</w:t>
      </w:r>
    </w:p>
    <w:p w14:paraId="32595BD2" w14:textId="77777777" w:rsidR="000B1EAD" w:rsidRPr="00270761" w:rsidRDefault="000B1EAD" w:rsidP="000B1EAD">
      <w:pPr>
        <w:widowControl/>
        <w:rPr>
          <w:rFonts w:ascii="Times New Roman" w:hAnsi="Times New Roman" w:cs="Times New Roman"/>
          <w:lang w:val="en-GB"/>
        </w:rPr>
      </w:pPr>
    </w:p>
    <w:p w14:paraId="2924531E" w14:textId="77777777" w:rsidR="000B1EAD" w:rsidRPr="00270761" w:rsidRDefault="000B1EAD" w:rsidP="000B1EAD">
      <w:pPr>
        <w:keepNext/>
        <w:keepLines/>
        <w:widowControl/>
        <w:spacing w:after="240"/>
        <w:rPr>
          <w:rFonts w:ascii="Times New Roman" w:hAnsi="Times New Roman" w:cs="Times New Roman"/>
          <w:b/>
        </w:rPr>
      </w:pPr>
      <w:r w:rsidRPr="00270761">
        <w:rPr>
          <w:rFonts w:ascii="Times New Roman" w:hAnsi="Times New Roman" w:cs="Times New Roman"/>
          <w:b/>
        </w:rPr>
        <w:t>Right to equality and non-discrimination</w:t>
      </w:r>
    </w:p>
    <w:p w14:paraId="719578D7" w14:textId="77777777" w:rsidR="000B1EAD" w:rsidRPr="00270761" w:rsidRDefault="000B1EAD" w:rsidP="000B1EAD">
      <w:pPr>
        <w:widowControl/>
        <w:rPr>
          <w:rFonts w:ascii="Times New Roman" w:hAnsi="Times New Roman" w:cs="Times New Roman"/>
          <w:u w:val="single"/>
        </w:rPr>
      </w:pPr>
      <w:r w:rsidRPr="00270761">
        <w:rPr>
          <w:rFonts w:ascii="Times New Roman" w:hAnsi="Times New Roman" w:cs="Times New Roman"/>
          <w:u w:val="single"/>
        </w:rPr>
        <w:t>Right</w:t>
      </w:r>
    </w:p>
    <w:p w14:paraId="0E49D33C" w14:textId="77777777" w:rsidR="000B1EAD" w:rsidRPr="00270761" w:rsidRDefault="000B1EAD" w:rsidP="000B1EAD">
      <w:pPr>
        <w:widowControl/>
        <w:rPr>
          <w:rFonts w:ascii="Times New Roman" w:hAnsi="Times New Roman" w:cs="Times New Roman"/>
          <w:u w:val="single"/>
        </w:rPr>
      </w:pPr>
    </w:p>
    <w:p w14:paraId="4139537A"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The right to equality and non-discrimination under Article 26 of the ICCPR provides that everyone is entitled to enjoy their rights without discrimination of any kind, and that people are equal before the law and are entitled without discrimination to the equal and non-discriminatory protection of the law.</w:t>
      </w:r>
    </w:p>
    <w:p w14:paraId="4F444F61" w14:textId="77777777" w:rsidR="000B1EAD" w:rsidRPr="00270761" w:rsidRDefault="000B1EAD" w:rsidP="000B1EAD">
      <w:pPr>
        <w:widowControl/>
        <w:rPr>
          <w:rFonts w:ascii="Times New Roman" w:hAnsi="Times New Roman" w:cs="Times New Roman"/>
        </w:rPr>
      </w:pPr>
    </w:p>
    <w:p w14:paraId="0AA610D6"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Differential treatment (including the differential effect of a measure that is neutral on its face) will not constitute unlawful discrimination if the differential treatment is based on reasonable and objective criteria, serves a legitimate objective, and is a proportionate means of achieving that objective.</w:t>
      </w:r>
    </w:p>
    <w:p w14:paraId="1FE097FE" w14:textId="77777777" w:rsidR="000B1EAD" w:rsidRPr="00270761" w:rsidRDefault="000B1EAD" w:rsidP="000B1EAD">
      <w:pPr>
        <w:widowControl/>
        <w:rPr>
          <w:rFonts w:ascii="&amp;quot" w:hAnsi="&amp;quot" w:cs="Times New Roman"/>
          <w:u w:val="single"/>
          <w:lang w:eastAsia="en-AU"/>
        </w:rPr>
      </w:pPr>
    </w:p>
    <w:p w14:paraId="0633B23C" w14:textId="77777777" w:rsidR="000B1EAD" w:rsidRPr="00270761" w:rsidRDefault="000B1EAD" w:rsidP="000B1EAD">
      <w:pPr>
        <w:widowControl/>
        <w:rPr>
          <w:rFonts w:ascii="Times New Roman" w:hAnsi="Times New Roman" w:cs="Times New Roman"/>
          <w:u w:val="single"/>
        </w:rPr>
      </w:pPr>
      <w:r w:rsidRPr="00270761">
        <w:rPr>
          <w:rFonts w:ascii="Times New Roman" w:hAnsi="Times New Roman" w:cs="Times New Roman"/>
          <w:u w:val="single"/>
        </w:rPr>
        <w:t>Permissible limitations</w:t>
      </w:r>
    </w:p>
    <w:p w14:paraId="08495BCD" w14:textId="77777777" w:rsidR="000B1EAD" w:rsidRPr="00270761" w:rsidRDefault="000B1EAD" w:rsidP="000B1EAD">
      <w:pPr>
        <w:widowControl/>
        <w:rPr>
          <w:rFonts w:ascii="Times New Roman" w:hAnsi="Times New Roman" w:cs="Times New Roman"/>
          <w:u w:val="single"/>
        </w:rPr>
      </w:pPr>
    </w:p>
    <w:p w14:paraId="01537D33"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 xml:space="preserve">Any differential treatment of people as a consequence of the application of the Instrument does not amount to discrimination pursuant to Article 26 of the ICCPR. </w:t>
      </w:r>
    </w:p>
    <w:p w14:paraId="7AF6CA11" w14:textId="77777777" w:rsidR="000B1EAD" w:rsidRPr="00270761" w:rsidRDefault="000B1EAD" w:rsidP="000B1EAD">
      <w:pPr>
        <w:widowControl/>
        <w:rPr>
          <w:rFonts w:ascii="Times New Roman" w:hAnsi="Times New Roman" w:cs="Times New Roman"/>
        </w:rPr>
      </w:pPr>
    </w:p>
    <w:p w14:paraId="68B2E563"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 xml:space="preserve">The criteria set out in regulation 6 of the Regulations are reasonable and objective. They are reasonable insofar as they list only those States and activities which the Government has specifically determined give rise to situations of international concern. They are objective as they provide a clear, consistent and objectively verifiable reference point by which the Minister is able to make a designation or declaration. The Regulations serve a legitimate objective, as discussed above. </w:t>
      </w:r>
    </w:p>
    <w:p w14:paraId="3216EC0B" w14:textId="77777777" w:rsidR="000B1EAD" w:rsidRPr="00270761" w:rsidRDefault="000B1EAD" w:rsidP="000B1EAD">
      <w:pPr>
        <w:widowControl/>
        <w:rPr>
          <w:rFonts w:ascii="Times New Roman" w:hAnsi="Times New Roman" w:cs="Times New Roman"/>
        </w:rPr>
      </w:pPr>
    </w:p>
    <w:p w14:paraId="346A3D1C"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 xml:space="preserve">To the extent that the measures result in a differential impact on persons from particular countries, this is both proportionate and necessary to achieve the objective of the Instrument. Country-specific sanctions will inevitably impact persons from certain countries more than others, as they are used as a tool of foreign diplomacy to facilitate the conduct of Australia’s international relations with particular countries. In this case, the measures will predominantly impact persons of Russian national origin or nationality. </w:t>
      </w:r>
    </w:p>
    <w:p w14:paraId="6AB73037" w14:textId="77777777" w:rsidR="000B1EAD" w:rsidRPr="00270761" w:rsidRDefault="000B1EAD" w:rsidP="000B1EAD">
      <w:pPr>
        <w:widowControl/>
        <w:rPr>
          <w:rFonts w:ascii="Times New Roman" w:hAnsi="Times New Roman" w:cs="Times New Roman"/>
        </w:rPr>
      </w:pPr>
    </w:p>
    <w:p w14:paraId="10C18E0B" w14:textId="77777777" w:rsidR="000B1EAD" w:rsidRPr="00270761" w:rsidRDefault="000B1EAD" w:rsidP="000B1EAD">
      <w:pPr>
        <w:widowControl/>
        <w:rPr>
          <w:rFonts w:ascii="Times New Roman" w:hAnsi="Times New Roman" w:cs="Times New Roman"/>
        </w:rPr>
      </w:pPr>
      <w:r w:rsidRPr="00270761">
        <w:rPr>
          <w:rFonts w:ascii="Times New Roman" w:hAnsi="Times New Roman" w:cs="Times New Roman"/>
        </w:rPr>
        <w:t xml:space="preserve">Denying access to international travel and the international financial system to certain designated individuals is a highly targeted, justified and less rights-restrictive means of achieving the objectives of the Regulations, including in a context where other conventional mechanisms are unavailable. </w:t>
      </w:r>
    </w:p>
    <w:p w14:paraId="6C72EA39" w14:textId="77777777" w:rsidR="000B1EAD" w:rsidRPr="00270761" w:rsidRDefault="000B1EAD" w:rsidP="000B1EAD">
      <w:pPr>
        <w:widowControl/>
        <w:rPr>
          <w:rFonts w:ascii="Times New Roman" w:hAnsi="Times New Roman" w:cs="Times New Roman"/>
        </w:rPr>
      </w:pPr>
    </w:p>
    <w:p w14:paraId="3AA35249" w14:textId="1C3BF889" w:rsidR="00F52143" w:rsidRPr="007B5802" w:rsidRDefault="000B1EAD" w:rsidP="000B6E5F">
      <w:pPr>
        <w:widowControl/>
        <w:rPr>
          <w:rFonts w:ascii="Times New Roman" w:hAnsi="Times New Roman"/>
        </w:rPr>
      </w:pPr>
      <w:r w:rsidRPr="00270761">
        <w:rPr>
          <w:rFonts w:ascii="Times New Roman" w:hAnsi="Times New Roman" w:cs="Times New Roman"/>
        </w:rPr>
        <w:t>While these measures may impact individuals of certain nationalities and national origins more than others, there is no information to support the view that affected groups are vulnerable. Rather, the individuals designated in the Instrument are persons the Minister is satisfied are involved in activities that give rise to situations of international concern. Further, there are several safeguards, such as the availability of judicial review and regular review processes in place, to ensure that any limitation is proportionate to the objective being sought.</w:t>
      </w:r>
    </w:p>
    <w:sectPr w:rsidR="00F52143" w:rsidRPr="007B5802" w:rsidSect="00161190">
      <w:headerReference w:type="default" r:id="rId11"/>
      <w:footerReference w:type="default" r:id="rId12"/>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A63BA" w14:textId="77777777" w:rsidR="002673F1" w:rsidRDefault="002673F1" w:rsidP="00F52143">
      <w:r>
        <w:separator/>
      </w:r>
    </w:p>
  </w:endnote>
  <w:endnote w:type="continuationSeparator" w:id="0">
    <w:p w14:paraId="25758F68" w14:textId="77777777" w:rsidR="002673F1" w:rsidRDefault="002673F1" w:rsidP="00F52143">
      <w:r>
        <w:continuationSeparator/>
      </w:r>
    </w:p>
  </w:endnote>
  <w:endnote w:type="continuationNotice" w:id="1">
    <w:p w14:paraId="0F831A14" w14:textId="77777777" w:rsidR="002673F1" w:rsidRDefault="002673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380380"/>
      <w:docPartObj>
        <w:docPartGallery w:val="Page Numbers (Bottom of Page)"/>
        <w:docPartUnique/>
      </w:docPartObj>
    </w:sdtPr>
    <w:sdtEndPr>
      <w:rPr>
        <w:noProof/>
      </w:rPr>
    </w:sdtEndPr>
    <w:sdtContent>
      <w:p w14:paraId="35AFFB77" w14:textId="6AE6BE97" w:rsidR="00161190" w:rsidRDefault="0016119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3B4EDAA0" w14:textId="77777777" w:rsidR="00161190" w:rsidRDefault="00161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4A6E8" w14:textId="77777777" w:rsidR="002673F1" w:rsidRDefault="002673F1" w:rsidP="00F52143">
      <w:r>
        <w:separator/>
      </w:r>
    </w:p>
  </w:footnote>
  <w:footnote w:type="continuationSeparator" w:id="0">
    <w:p w14:paraId="6A8F0E9B" w14:textId="77777777" w:rsidR="002673F1" w:rsidRDefault="002673F1" w:rsidP="00F52143">
      <w:r>
        <w:continuationSeparator/>
      </w:r>
    </w:p>
  </w:footnote>
  <w:footnote w:type="continuationNotice" w:id="1">
    <w:p w14:paraId="116B04D1" w14:textId="77777777" w:rsidR="002673F1" w:rsidRDefault="002673F1"/>
  </w:footnote>
  <w:footnote w:id="2">
    <w:p w14:paraId="37E4F388" w14:textId="77777777" w:rsidR="00161190" w:rsidRDefault="00161190" w:rsidP="000B1EAD">
      <w:pPr>
        <w:pStyle w:val="FootnoteText"/>
      </w:pPr>
      <w:r>
        <w:rPr>
          <w:rStyle w:val="FootnoteReference"/>
        </w:rPr>
        <w:footnoteRef/>
      </w:r>
      <w:r>
        <w:t xml:space="preserve"> Manfred Nowak, </w:t>
      </w:r>
      <w:r>
        <w:rPr>
          <w:i/>
        </w:rPr>
        <w:t>United Nations Covenant on Civil and Political Rights: CCPR Commentary</w:t>
      </w:r>
      <w:r>
        <w:t xml:space="preserve"> (NP Engel, 1993) 178.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1BA3B" w14:textId="77777777" w:rsidR="00161190" w:rsidRDefault="00161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769C"/>
    <w:multiLevelType w:val="hybridMultilevel"/>
    <w:tmpl w:val="1134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5957B7"/>
    <w:multiLevelType w:val="hybridMultilevel"/>
    <w:tmpl w:val="8C9E154A"/>
    <w:lvl w:ilvl="0" w:tplc="46C8E14A">
      <w:numFmt w:val="bullet"/>
      <w:lvlText w:val="-"/>
      <w:lvlJc w:val="left"/>
      <w:pPr>
        <w:ind w:left="720" w:hanging="360"/>
      </w:pPr>
      <w:rPr>
        <w:rFonts w:ascii="Times" w:eastAsia="Times New Roman" w:hAnsi="Times" w:cs="Time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C8683E"/>
    <w:multiLevelType w:val="hybridMultilevel"/>
    <w:tmpl w:val="9A4614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 w15:restartNumberingAfterBreak="0">
    <w:nsid w:val="25AC6FA1"/>
    <w:multiLevelType w:val="hybridMultilevel"/>
    <w:tmpl w:val="6F442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D67410"/>
    <w:multiLevelType w:val="hybridMultilevel"/>
    <w:tmpl w:val="9ABCA286"/>
    <w:lvl w:ilvl="0" w:tplc="7F789052">
      <w:start w:val="4"/>
      <w:numFmt w:val="bullet"/>
      <w:lvlText w:val=""/>
      <w:lvlJc w:val="left"/>
      <w:pPr>
        <w:ind w:left="720" w:hanging="360"/>
      </w:pPr>
      <w:rPr>
        <w:rFonts w:ascii="Symbol" w:eastAsia="Times New Roman" w:hAnsi="Symbol" w:cs="Times" w:hint="default"/>
      </w:rPr>
    </w:lvl>
    <w:lvl w:ilvl="1" w:tplc="2FA4F2BE">
      <w:start w:val="1"/>
      <w:numFmt w:val="bullet"/>
      <w:lvlText w:val="o"/>
      <w:lvlJc w:val="left"/>
      <w:pPr>
        <w:ind w:left="1440" w:hanging="360"/>
      </w:pPr>
      <w:rPr>
        <w:rFonts w:ascii="Courier New" w:hAnsi="Courier New" w:cs="Courier New" w:hint="default"/>
      </w:rPr>
    </w:lvl>
    <w:lvl w:ilvl="2" w:tplc="EB0CA920" w:tentative="1">
      <w:start w:val="1"/>
      <w:numFmt w:val="bullet"/>
      <w:lvlText w:val=""/>
      <w:lvlJc w:val="left"/>
      <w:pPr>
        <w:ind w:left="2160" w:hanging="360"/>
      </w:pPr>
      <w:rPr>
        <w:rFonts w:ascii="Wingdings" w:hAnsi="Wingdings" w:hint="default"/>
      </w:rPr>
    </w:lvl>
    <w:lvl w:ilvl="3" w:tplc="9D82F9AC" w:tentative="1">
      <w:start w:val="1"/>
      <w:numFmt w:val="bullet"/>
      <w:lvlText w:val=""/>
      <w:lvlJc w:val="left"/>
      <w:pPr>
        <w:ind w:left="2880" w:hanging="360"/>
      </w:pPr>
      <w:rPr>
        <w:rFonts w:ascii="Symbol" w:hAnsi="Symbol" w:hint="default"/>
      </w:rPr>
    </w:lvl>
    <w:lvl w:ilvl="4" w:tplc="BEF6964C" w:tentative="1">
      <w:start w:val="1"/>
      <w:numFmt w:val="bullet"/>
      <w:lvlText w:val="o"/>
      <w:lvlJc w:val="left"/>
      <w:pPr>
        <w:ind w:left="3600" w:hanging="360"/>
      </w:pPr>
      <w:rPr>
        <w:rFonts w:ascii="Courier New" w:hAnsi="Courier New" w:cs="Courier New" w:hint="default"/>
      </w:rPr>
    </w:lvl>
    <w:lvl w:ilvl="5" w:tplc="54E2E77C" w:tentative="1">
      <w:start w:val="1"/>
      <w:numFmt w:val="bullet"/>
      <w:lvlText w:val=""/>
      <w:lvlJc w:val="left"/>
      <w:pPr>
        <w:ind w:left="4320" w:hanging="360"/>
      </w:pPr>
      <w:rPr>
        <w:rFonts w:ascii="Wingdings" w:hAnsi="Wingdings" w:hint="default"/>
      </w:rPr>
    </w:lvl>
    <w:lvl w:ilvl="6" w:tplc="35929908" w:tentative="1">
      <w:start w:val="1"/>
      <w:numFmt w:val="bullet"/>
      <w:lvlText w:val=""/>
      <w:lvlJc w:val="left"/>
      <w:pPr>
        <w:ind w:left="5040" w:hanging="360"/>
      </w:pPr>
      <w:rPr>
        <w:rFonts w:ascii="Symbol" w:hAnsi="Symbol" w:hint="default"/>
      </w:rPr>
    </w:lvl>
    <w:lvl w:ilvl="7" w:tplc="615A5086" w:tentative="1">
      <w:start w:val="1"/>
      <w:numFmt w:val="bullet"/>
      <w:lvlText w:val="o"/>
      <w:lvlJc w:val="left"/>
      <w:pPr>
        <w:ind w:left="5760" w:hanging="360"/>
      </w:pPr>
      <w:rPr>
        <w:rFonts w:ascii="Courier New" w:hAnsi="Courier New" w:cs="Courier New" w:hint="default"/>
      </w:rPr>
    </w:lvl>
    <w:lvl w:ilvl="8" w:tplc="BEEC11AC" w:tentative="1">
      <w:start w:val="1"/>
      <w:numFmt w:val="bullet"/>
      <w:lvlText w:val=""/>
      <w:lvlJc w:val="left"/>
      <w:pPr>
        <w:ind w:left="6480" w:hanging="360"/>
      </w:pPr>
      <w:rPr>
        <w:rFonts w:ascii="Wingdings" w:hAnsi="Wingdings" w:hint="default"/>
      </w:rPr>
    </w:lvl>
  </w:abstractNum>
  <w:abstractNum w:abstractNumId="5" w15:restartNumberingAfterBreak="0">
    <w:nsid w:val="474E3424"/>
    <w:multiLevelType w:val="hybridMultilevel"/>
    <w:tmpl w:val="598002DE"/>
    <w:lvl w:ilvl="0" w:tplc="88C2E0AA">
      <w:start w:val="3"/>
      <w:numFmt w:val="bullet"/>
      <w:lvlText w:val="-"/>
      <w:lvlJc w:val="left"/>
      <w:pPr>
        <w:ind w:left="720" w:hanging="360"/>
      </w:pPr>
      <w:rPr>
        <w:rFonts w:ascii="Times New Roman" w:eastAsiaTheme="minorHAnsi" w:hAnsi="Times New Roman" w:cs="Times New Roman"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0354F2"/>
    <w:multiLevelType w:val="hybridMultilevel"/>
    <w:tmpl w:val="0F56D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B61DE2"/>
    <w:multiLevelType w:val="hybridMultilevel"/>
    <w:tmpl w:val="1096BA86"/>
    <w:lvl w:ilvl="0" w:tplc="17545FEA">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5D6854"/>
    <w:multiLevelType w:val="hybridMultilevel"/>
    <w:tmpl w:val="766C7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AD64210"/>
    <w:multiLevelType w:val="hybridMultilevel"/>
    <w:tmpl w:val="22EC0A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9"/>
  </w:num>
  <w:num w:numId="6">
    <w:abstractNumId w:val="1"/>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143"/>
    <w:rsid w:val="000012DE"/>
    <w:rsid w:val="00006601"/>
    <w:rsid w:val="00010829"/>
    <w:rsid w:val="00013BBE"/>
    <w:rsid w:val="000167E4"/>
    <w:rsid w:val="000202B4"/>
    <w:rsid w:val="000231E9"/>
    <w:rsid w:val="0002384D"/>
    <w:rsid w:val="000313E0"/>
    <w:rsid w:val="00034731"/>
    <w:rsid w:val="00036EF8"/>
    <w:rsid w:val="00040166"/>
    <w:rsid w:val="000421FD"/>
    <w:rsid w:val="00047743"/>
    <w:rsid w:val="00053417"/>
    <w:rsid w:val="000567FA"/>
    <w:rsid w:val="000571FA"/>
    <w:rsid w:val="00064B66"/>
    <w:rsid w:val="00065077"/>
    <w:rsid w:val="00082A56"/>
    <w:rsid w:val="00084463"/>
    <w:rsid w:val="00090C0D"/>
    <w:rsid w:val="00094305"/>
    <w:rsid w:val="000A3497"/>
    <w:rsid w:val="000A57BB"/>
    <w:rsid w:val="000B1EAD"/>
    <w:rsid w:val="000B30E4"/>
    <w:rsid w:val="000B5014"/>
    <w:rsid w:val="000B63DA"/>
    <w:rsid w:val="000B6E5F"/>
    <w:rsid w:val="000B76FE"/>
    <w:rsid w:val="000C089C"/>
    <w:rsid w:val="000D44F3"/>
    <w:rsid w:val="000D45CD"/>
    <w:rsid w:val="000D62B3"/>
    <w:rsid w:val="000D6B8A"/>
    <w:rsid w:val="000F1275"/>
    <w:rsid w:val="000F4B06"/>
    <w:rsid w:val="000F5414"/>
    <w:rsid w:val="000F5A45"/>
    <w:rsid w:val="000F7BB9"/>
    <w:rsid w:val="00100600"/>
    <w:rsid w:val="00102D44"/>
    <w:rsid w:val="00103D57"/>
    <w:rsid w:val="00132770"/>
    <w:rsid w:val="00140104"/>
    <w:rsid w:val="00141924"/>
    <w:rsid w:val="0014417D"/>
    <w:rsid w:val="00147B2B"/>
    <w:rsid w:val="0015098B"/>
    <w:rsid w:val="0015300F"/>
    <w:rsid w:val="00153075"/>
    <w:rsid w:val="00153D59"/>
    <w:rsid w:val="00157AB6"/>
    <w:rsid w:val="0016020A"/>
    <w:rsid w:val="00161190"/>
    <w:rsid w:val="00186854"/>
    <w:rsid w:val="00187C84"/>
    <w:rsid w:val="001915AA"/>
    <w:rsid w:val="001A177D"/>
    <w:rsid w:val="001A4774"/>
    <w:rsid w:val="001A6278"/>
    <w:rsid w:val="001C00EA"/>
    <w:rsid w:val="001C3120"/>
    <w:rsid w:val="001C7030"/>
    <w:rsid w:val="001D60BF"/>
    <w:rsid w:val="001E142B"/>
    <w:rsid w:val="001E31D4"/>
    <w:rsid w:val="001E74F2"/>
    <w:rsid w:val="001F4264"/>
    <w:rsid w:val="001F4ED5"/>
    <w:rsid w:val="001F5B47"/>
    <w:rsid w:val="00205591"/>
    <w:rsid w:val="002071D4"/>
    <w:rsid w:val="00213D27"/>
    <w:rsid w:val="00221CD2"/>
    <w:rsid w:val="00230032"/>
    <w:rsid w:val="002339B9"/>
    <w:rsid w:val="002343A1"/>
    <w:rsid w:val="002374B9"/>
    <w:rsid w:val="00237A77"/>
    <w:rsid w:val="002439EB"/>
    <w:rsid w:val="002449A1"/>
    <w:rsid w:val="00254E75"/>
    <w:rsid w:val="002673F1"/>
    <w:rsid w:val="002701DC"/>
    <w:rsid w:val="00270761"/>
    <w:rsid w:val="0028123C"/>
    <w:rsid w:val="002861D2"/>
    <w:rsid w:val="00286210"/>
    <w:rsid w:val="0029743A"/>
    <w:rsid w:val="002A488E"/>
    <w:rsid w:val="002A63C9"/>
    <w:rsid w:val="002B2175"/>
    <w:rsid w:val="002B712B"/>
    <w:rsid w:val="002C15E5"/>
    <w:rsid w:val="002C3AD7"/>
    <w:rsid w:val="002C6D5F"/>
    <w:rsid w:val="002D2B78"/>
    <w:rsid w:val="002D39CA"/>
    <w:rsid w:val="002E3826"/>
    <w:rsid w:val="002E7E73"/>
    <w:rsid w:val="00300CA3"/>
    <w:rsid w:val="003045F8"/>
    <w:rsid w:val="00307A5A"/>
    <w:rsid w:val="00310346"/>
    <w:rsid w:val="003111C8"/>
    <w:rsid w:val="00311EFE"/>
    <w:rsid w:val="00315246"/>
    <w:rsid w:val="00330882"/>
    <w:rsid w:val="00332299"/>
    <w:rsid w:val="00341543"/>
    <w:rsid w:val="00341725"/>
    <w:rsid w:val="00341CF4"/>
    <w:rsid w:val="00353188"/>
    <w:rsid w:val="003610E8"/>
    <w:rsid w:val="003636AB"/>
    <w:rsid w:val="003729F8"/>
    <w:rsid w:val="00374649"/>
    <w:rsid w:val="00376EB9"/>
    <w:rsid w:val="003771BE"/>
    <w:rsid w:val="003835BD"/>
    <w:rsid w:val="003853C4"/>
    <w:rsid w:val="00385FB2"/>
    <w:rsid w:val="00393322"/>
    <w:rsid w:val="003A6DF6"/>
    <w:rsid w:val="003B257F"/>
    <w:rsid w:val="003C1422"/>
    <w:rsid w:val="003C1ECD"/>
    <w:rsid w:val="003C1F17"/>
    <w:rsid w:val="003C30C9"/>
    <w:rsid w:val="003C5EB3"/>
    <w:rsid w:val="003D0B83"/>
    <w:rsid w:val="003D2D01"/>
    <w:rsid w:val="003D488C"/>
    <w:rsid w:val="003F2F28"/>
    <w:rsid w:val="003F6FF5"/>
    <w:rsid w:val="004074A8"/>
    <w:rsid w:val="00407BB1"/>
    <w:rsid w:val="004145AE"/>
    <w:rsid w:val="00414D56"/>
    <w:rsid w:val="00417651"/>
    <w:rsid w:val="0042020B"/>
    <w:rsid w:val="004224D9"/>
    <w:rsid w:val="00423A77"/>
    <w:rsid w:val="00426E26"/>
    <w:rsid w:val="00443184"/>
    <w:rsid w:val="00443774"/>
    <w:rsid w:val="004465ED"/>
    <w:rsid w:val="00452F74"/>
    <w:rsid w:val="004730D3"/>
    <w:rsid w:val="004745C8"/>
    <w:rsid w:val="004839E9"/>
    <w:rsid w:val="0048607D"/>
    <w:rsid w:val="004948B6"/>
    <w:rsid w:val="004963CE"/>
    <w:rsid w:val="00497745"/>
    <w:rsid w:val="00497B5D"/>
    <w:rsid w:val="00497C5F"/>
    <w:rsid w:val="004A3992"/>
    <w:rsid w:val="004D1A1F"/>
    <w:rsid w:val="004D20C8"/>
    <w:rsid w:val="004D7EA7"/>
    <w:rsid w:val="004E5BCC"/>
    <w:rsid w:val="004E64E8"/>
    <w:rsid w:val="004E76DA"/>
    <w:rsid w:val="004F1ABF"/>
    <w:rsid w:val="00502B4D"/>
    <w:rsid w:val="005042F1"/>
    <w:rsid w:val="005053D2"/>
    <w:rsid w:val="005274DD"/>
    <w:rsid w:val="00533187"/>
    <w:rsid w:val="00537231"/>
    <w:rsid w:val="00545EC1"/>
    <w:rsid w:val="00552790"/>
    <w:rsid w:val="00557ADE"/>
    <w:rsid w:val="0057191B"/>
    <w:rsid w:val="00577257"/>
    <w:rsid w:val="00583CC0"/>
    <w:rsid w:val="00595B2A"/>
    <w:rsid w:val="00595D70"/>
    <w:rsid w:val="005A7D36"/>
    <w:rsid w:val="005B12B3"/>
    <w:rsid w:val="005C6D47"/>
    <w:rsid w:val="005D1AB5"/>
    <w:rsid w:val="005D20D4"/>
    <w:rsid w:val="005E1216"/>
    <w:rsid w:val="005E285C"/>
    <w:rsid w:val="005E42C8"/>
    <w:rsid w:val="005E785E"/>
    <w:rsid w:val="0060188D"/>
    <w:rsid w:val="0061237F"/>
    <w:rsid w:val="0062181C"/>
    <w:rsid w:val="0062365D"/>
    <w:rsid w:val="00625C6B"/>
    <w:rsid w:val="00626C68"/>
    <w:rsid w:val="0064489B"/>
    <w:rsid w:val="00647B6F"/>
    <w:rsid w:val="006509AD"/>
    <w:rsid w:val="00650F66"/>
    <w:rsid w:val="00652B54"/>
    <w:rsid w:val="00655457"/>
    <w:rsid w:val="00664EBA"/>
    <w:rsid w:val="00666F60"/>
    <w:rsid w:val="00676CE8"/>
    <w:rsid w:val="006828F3"/>
    <w:rsid w:val="006A4DC5"/>
    <w:rsid w:val="006A676E"/>
    <w:rsid w:val="006B18C6"/>
    <w:rsid w:val="006C2252"/>
    <w:rsid w:val="006D2891"/>
    <w:rsid w:val="006E0B1F"/>
    <w:rsid w:val="006E53AC"/>
    <w:rsid w:val="006F0300"/>
    <w:rsid w:val="00700066"/>
    <w:rsid w:val="00702C74"/>
    <w:rsid w:val="00703128"/>
    <w:rsid w:val="00705747"/>
    <w:rsid w:val="007169FA"/>
    <w:rsid w:val="0072760E"/>
    <w:rsid w:val="007306A7"/>
    <w:rsid w:val="00744C36"/>
    <w:rsid w:val="007453F8"/>
    <w:rsid w:val="00747F8A"/>
    <w:rsid w:val="00761D42"/>
    <w:rsid w:val="00774991"/>
    <w:rsid w:val="007829E9"/>
    <w:rsid w:val="00783AAE"/>
    <w:rsid w:val="007842E0"/>
    <w:rsid w:val="007A0E79"/>
    <w:rsid w:val="007A287A"/>
    <w:rsid w:val="007A37BD"/>
    <w:rsid w:val="007A51CA"/>
    <w:rsid w:val="007B17EB"/>
    <w:rsid w:val="007B5802"/>
    <w:rsid w:val="007C6AE2"/>
    <w:rsid w:val="007D4053"/>
    <w:rsid w:val="007E2EF5"/>
    <w:rsid w:val="007E6C27"/>
    <w:rsid w:val="007E7278"/>
    <w:rsid w:val="007F2976"/>
    <w:rsid w:val="00804F3D"/>
    <w:rsid w:val="008102C7"/>
    <w:rsid w:val="00812768"/>
    <w:rsid w:val="00813974"/>
    <w:rsid w:val="00814734"/>
    <w:rsid w:val="00826C57"/>
    <w:rsid w:val="00827B18"/>
    <w:rsid w:val="00831992"/>
    <w:rsid w:val="008372C7"/>
    <w:rsid w:val="008461C3"/>
    <w:rsid w:val="0085188E"/>
    <w:rsid w:val="008558D7"/>
    <w:rsid w:val="00867FE1"/>
    <w:rsid w:val="00870759"/>
    <w:rsid w:val="00876F47"/>
    <w:rsid w:val="008822AA"/>
    <w:rsid w:val="0088675D"/>
    <w:rsid w:val="008913CD"/>
    <w:rsid w:val="008A043F"/>
    <w:rsid w:val="008A5F5A"/>
    <w:rsid w:val="008B7FB7"/>
    <w:rsid w:val="008C1E45"/>
    <w:rsid w:val="008C26D6"/>
    <w:rsid w:val="008C6643"/>
    <w:rsid w:val="008C774B"/>
    <w:rsid w:val="008E3290"/>
    <w:rsid w:val="008E4727"/>
    <w:rsid w:val="008F10DB"/>
    <w:rsid w:val="00901FF4"/>
    <w:rsid w:val="00907FD5"/>
    <w:rsid w:val="009240F4"/>
    <w:rsid w:val="009271EB"/>
    <w:rsid w:val="00933F15"/>
    <w:rsid w:val="00937E13"/>
    <w:rsid w:val="009477EA"/>
    <w:rsid w:val="00950ABC"/>
    <w:rsid w:val="00950F45"/>
    <w:rsid w:val="00952E50"/>
    <w:rsid w:val="009531EB"/>
    <w:rsid w:val="009552A7"/>
    <w:rsid w:val="00957929"/>
    <w:rsid w:val="009726DF"/>
    <w:rsid w:val="009778D1"/>
    <w:rsid w:val="009852C5"/>
    <w:rsid w:val="00987DB2"/>
    <w:rsid w:val="0099000C"/>
    <w:rsid w:val="00990F53"/>
    <w:rsid w:val="009A5902"/>
    <w:rsid w:val="009B0A57"/>
    <w:rsid w:val="009D4094"/>
    <w:rsid w:val="009D4107"/>
    <w:rsid w:val="009D6258"/>
    <w:rsid w:val="009E0A1F"/>
    <w:rsid w:val="009E40B2"/>
    <w:rsid w:val="009F133E"/>
    <w:rsid w:val="009F27BC"/>
    <w:rsid w:val="00A02BA5"/>
    <w:rsid w:val="00A06BD0"/>
    <w:rsid w:val="00A11D6D"/>
    <w:rsid w:val="00A122AA"/>
    <w:rsid w:val="00A14480"/>
    <w:rsid w:val="00A17753"/>
    <w:rsid w:val="00A17E78"/>
    <w:rsid w:val="00A30FD6"/>
    <w:rsid w:val="00A40A6F"/>
    <w:rsid w:val="00A513D9"/>
    <w:rsid w:val="00A56189"/>
    <w:rsid w:val="00A635D2"/>
    <w:rsid w:val="00A81508"/>
    <w:rsid w:val="00A92A44"/>
    <w:rsid w:val="00A96121"/>
    <w:rsid w:val="00AA71B9"/>
    <w:rsid w:val="00AA74FF"/>
    <w:rsid w:val="00AC187E"/>
    <w:rsid w:val="00AC5698"/>
    <w:rsid w:val="00AC5F6E"/>
    <w:rsid w:val="00AD4F54"/>
    <w:rsid w:val="00AE1B98"/>
    <w:rsid w:val="00AE516E"/>
    <w:rsid w:val="00AE5252"/>
    <w:rsid w:val="00B030D7"/>
    <w:rsid w:val="00B06AD7"/>
    <w:rsid w:val="00B136A1"/>
    <w:rsid w:val="00B32C88"/>
    <w:rsid w:val="00B37282"/>
    <w:rsid w:val="00B40183"/>
    <w:rsid w:val="00B45125"/>
    <w:rsid w:val="00B52172"/>
    <w:rsid w:val="00B54F22"/>
    <w:rsid w:val="00B56CC5"/>
    <w:rsid w:val="00B776D1"/>
    <w:rsid w:val="00B8237E"/>
    <w:rsid w:val="00B86767"/>
    <w:rsid w:val="00B8788F"/>
    <w:rsid w:val="00B90D2E"/>
    <w:rsid w:val="00B967C3"/>
    <w:rsid w:val="00B97803"/>
    <w:rsid w:val="00B97E98"/>
    <w:rsid w:val="00BA139A"/>
    <w:rsid w:val="00BA4ED6"/>
    <w:rsid w:val="00BB2E48"/>
    <w:rsid w:val="00BC6C83"/>
    <w:rsid w:val="00BD0187"/>
    <w:rsid w:val="00BD414E"/>
    <w:rsid w:val="00BD4407"/>
    <w:rsid w:val="00BD729D"/>
    <w:rsid w:val="00BE0361"/>
    <w:rsid w:val="00BE2390"/>
    <w:rsid w:val="00BE599A"/>
    <w:rsid w:val="00BF00D9"/>
    <w:rsid w:val="00BF3A50"/>
    <w:rsid w:val="00BF4907"/>
    <w:rsid w:val="00BF613F"/>
    <w:rsid w:val="00C002DD"/>
    <w:rsid w:val="00C02A6F"/>
    <w:rsid w:val="00C04362"/>
    <w:rsid w:val="00C06CD9"/>
    <w:rsid w:val="00C244A7"/>
    <w:rsid w:val="00C30C33"/>
    <w:rsid w:val="00C34C68"/>
    <w:rsid w:val="00C4130C"/>
    <w:rsid w:val="00C510AB"/>
    <w:rsid w:val="00C52900"/>
    <w:rsid w:val="00C53CD2"/>
    <w:rsid w:val="00C70AF0"/>
    <w:rsid w:val="00C748B2"/>
    <w:rsid w:val="00C766B9"/>
    <w:rsid w:val="00C8007B"/>
    <w:rsid w:val="00C855C7"/>
    <w:rsid w:val="00CA3D03"/>
    <w:rsid w:val="00CA64DE"/>
    <w:rsid w:val="00CB2C92"/>
    <w:rsid w:val="00CB39DE"/>
    <w:rsid w:val="00CB6230"/>
    <w:rsid w:val="00CC4DD8"/>
    <w:rsid w:val="00CC4E8A"/>
    <w:rsid w:val="00CC558C"/>
    <w:rsid w:val="00CC6D79"/>
    <w:rsid w:val="00CD0D9A"/>
    <w:rsid w:val="00CD3A09"/>
    <w:rsid w:val="00CD45B1"/>
    <w:rsid w:val="00CF0AC9"/>
    <w:rsid w:val="00D000D9"/>
    <w:rsid w:val="00D04493"/>
    <w:rsid w:val="00D04828"/>
    <w:rsid w:val="00D060DC"/>
    <w:rsid w:val="00D13D5B"/>
    <w:rsid w:val="00D259B6"/>
    <w:rsid w:val="00D52EBF"/>
    <w:rsid w:val="00D5484F"/>
    <w:rsid w:val="00D61A99"/>
    <w:rsid w:val="00D64F32"/>
    <w:rsid w:val="00D655DB"/>
    <w:rsid w:val="00D71CF8"/>
    <w:rsid w:val="00D7572A"/>
    <w:rsid w:val="00D9189C"/>
    <w:rsid w:val="00D956E0"/>
    <w:rsid w:val="00DA5A0D"/>
    <w:rsid w:val="00DB21A2"/>
    <w:rsid w:val="00DB58EE"/>
    <w:rsid w:val="00DC0FEB"/>
    <w:rsid w:val="00DC36DB"/>
    <w:rsid w:val="00DC5FDD"/>
    <w:rsid w:val="00DD0FCE"/>
    <w:rsid w:val="00DD1EAD"/>
    <w:rsid w:val="00DD3715"/>
    <w:rsid w:val="00DE3819"/>
    <w:rsid w:val="00DE691F"/>
    <w:rsid w:val="00DF1448"/>
    <w:rsid w:val="00DF75C6"/>
    <w:rsid w:val="00E33766"/>
    <w:rsid w:val="00E34194"/>
    <w:rsid w:val="00E36217"/>
    <w:rsid w:val="00E4201E"/>
    <w:rsid w:val="00E50A1E"/>
    <w:rsid w:val="00E65A4C"/>
    <w:rsid w:val="00E8377B"/>
    <w:rsid w:val="00E84123"/>
    <w:rsid w:val="00E844F5"/>
    <w:rsid w:val="00E90BD0"/>
    <w:rsid w:val="00EB21AB"/>
    <w:rsid w:val="00EB2786"/>
    <w:rsid w:val="00EC5D5F"/>
    <w:rsid w:val="00ED0FEB"/>
    <w:rsid w:val="00EE2DBC"/>
    <w:rsid w:val="00EE397F"/>
    <w:rsid w:val="00EE48C3"/>
    <w:rsid w:val="00EF4F5F"/>
    <w:rsid w:val="00EF50EC"/>
    <w:rsid w:val="00F0346F"/>
    <w:rsid w:val="00F13B00"/>
    <w:rsid w:val="00F24765"/>
    <w:rsid w:val="00F25A65"/>
    <w:rsid w:val="00F366FD"/>
    <w:rsid w:val="00F50288"/>
    <w:rsid w:val="00F51662"/>
    <w:rsid w:val="00F52143"/>
    <w:rsid w:val="00F55F98"/>
    <w:rsid w:val="00F650A2"/>
    <w:rsid w:val="00F65D2C"/>
    <w:rsid w:val="00F73C78"/>
    <w:rsid w:val="00F740C6"/>
    <w:rsid w:val="00F77297"/>
    <w:rsid w:val="00F91CEB"/>
    <w:rsid w:val="00FA0B0F"/>
    <w:rsid w:val="00FB163A"/>
    <w:rsid w:val="00FB659B"/>
    <w:rsid w:val="00FC2289"/>
    <w:rsid w:val="00FC4F97"/>
    <w:rsid w:val="00FC6AEC"/>
    <w:rsid w:val="00FE103D"/>
    <w:rsid w:val="00FF2F44"/>
    <w:rsid w:val="00FF6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94D0E6"/>
  <w15:chartTrackingRefBased/>
  <w15:docId w15:val="{E95CB9FB-EE53-4AA2-BF9C-3B35F08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275"/>
    <w:pPr>
      <w:widowControl w:val="0"/>
      <w:spacing w:after="0" w:line="240" w:lineRule="auto"/>
    </w:pPr>
    <w:rPr>
      <w:rFonts w:ascii="Times" w:eastAsia="Times New Roman" w:hAnsi="Times" w:cs="Times"/>
      <w:color w:val="000000"/>
      <w:sz w:val="24"/>
      <w:szCs w:val="24"/>
      <w:lang w:eastAsia="zh-CN"/>
    </w:rPr>
  </w:style>
  <w:style w:type="paragraph" w:styleId="Heading1">
    <w:name w:val="heading 1"/>
    <w:basedOn w:val="Normal"/>
    <w:next w:val="Normal"/>
    <w:link w:val="Heading1Char"/>
    <w:qFormat/>
    <w:rsid w:val="00F52143"/>
    <w:pPr>
      <w:keepNext/>
      <w:widowControl/>
      <w:ind w:left="1133" w:hanging="1157"/>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143"/>
    <w:rPr>
      <w:rFonts w:ascii="Times" w:eastAsia="Times New Roman" w:hAnsi="Times" w:cs="Times"/>
      <w:i/>
      <w:iCs/>
      <w:color w:val="000000"/>
      <w:sz w:val="24"/>
      <w:szCs w:val="24"/>
      <w:lang w:eastAsia="zh-CN"/>
    </w:rPr>
  </w:style>
  <w:style w:type="paragraph" w:styleId="Title">
    <w:name w:val="Title"/>
    <w:basedOn w:val="Normal"/>
    <w:link w:val="TitleChar"/>
    <w:qFormat/>
    <w:rsid w:val="00F52143"/>
    <w:pPr>
      <w:widowControl/>
      <w:jc w:val="center"/>
    </w:pPr>
    <w:rPr>
      <w:b/>
      <w:bCs/>
      <w:u w:val="single"/>
    </w:rPr>
  </w:style>
  <w:style w:type="character" w:customStyle="1" w:styleId="TitleChar">
    <w:name w:val="Title Char"/>
    <w:basedOn w:val="DefaultParagraphFont"/>
    <w:link w:val="Title"/>
    <w:rsid w:val="00F52143"/>
    <w:rPr>
      <w:rFonts w:ascii="Times" w:eastAsia="Times New Roman" w:hAnsi="Times" w:cs="Times"/>
      <w:b/>
      <w:bCs/>
      <w:color w:val="000000"/>
      <w:sz w:val="24"/>
      <w:szCs w:val="24"/>
      <w:u w:val="single"/>
      <w:lang w:eastAsia="zh-CN"/>
    </w:rPr>
  </w:style>
  <w:style w:type="paragraph" w:styleId="Header">
    <w:name w:val="header"/>
    <w:basedOn w:val="Normal"/>
    <w:link w:val="HeaderChar"/>
    <w:uiPriority w:val="99"/>
    <w:unhideWhenUsed/>
    <w:rsid w:val="00F52143"/>
    <w:pPr>
      <w:tabs>
        <w:tab w:val="center" w:pos="4513"/>
        <w:tab w:val="right" w:pos="9026"/>
      </w:tabs>
    </w:pPr>
  </w:style>
  <w:style w:type="character" w:customStyle="1" w:styleId="HeaderChar">
    <w:name w:val="Header Char"/>
    <w:basedOn w:val="DefaultParagraphFont"/>
    <w:link w:val="Header"/>
    <w:uiPriority w:val="99"/>
    <w:rsid w:val="00F52143"/>
    <w:rPr>
      <w:rFonts w:ascii="Times" w:eastAsia="Times New Roman" w:hAnsi="Times" w:cs="Times"/>
      <w:color w:val="000000"/>
      <w:sz w:val="24"/>
      <w:szCs w:val="24"/>
      <w:lang w:eastAsia="zh-CN"/>
    </w:rPr>
  </w:style>
  <w:style w:type="paragraph" w:styleId="Footer">
    <w:name w:val="footer"/>
    <w:basedOn w:val="Normal"/>
    <w:link w:val="FooterChar"/>
    <w:uiPriority w:val="99"/>
    <w:unhideWhenUsed/>
    <w:rsid w:val="00F52143"/>
    <w:pPr>
      <w:tabs>
        <w:tab w:val="center" w:pos="4513"/>
        <w:tab w:val="right" w:pos="9026"/>
      </w:tabs>
    </w:pPr>
  </w:style>
  <w:style w:type="character" w:customStyle="1" w:styleId="FooterChar">
    <w:name w:val="Footer Char"/>
    <w:basedOn w:val="DefaultParagraphFont"/>
    <w:link w:val="Footer"/>
    <w:uiPriority w:val="99"/>
    <w:rsid w:val="00F52143"/>
    <w:rPr>
      <w:rFonts w:ascii="Times" w:eastAsia="Times New Roman" w:hAnsi="Times" w:cs="Times"/>
      <w:color w:val="000000"/>
      <w:sz w:val="24"/>
      <w:szCs w:val="24"/>
      <w:lang w:eastAsia="zh-CN"/>
    </w:rPr>
  </w:style>
  <w:style w:type="paragraph" w:styleId="ListParagraph">
    <w:name w:val="List Paragraph"/>
    <w:basedOn w:val="Normal"/>
    <w:uiPriority w:val="34"/>
    <w:qFormat/>
    <w:rsid w:val="00F52143"/>
    <w:pPr>
      <w:ind w:left="720"/>
      <w:contextualSpacing/>
    </w:pPr>
  </w:style>
  <w:style w:type="paragraph" w:styleId="FootnoteText">
    <w:name w:val="footnote text"/>
    <w:basedOn w:val="Normal"/>
    <w:link w:val="FootnoteTextChar"/>
    <w:semiHidden/>
    <w:unhideWhenUsed/>
    <w:rsid w:val="00F52143"/>
    <w:rPr>
      <w:sz w:val="20"/>
      <w:szCs w:val="20"/>
    </w:rPr>
  </w:style>
  <w:style w:type="character" w:customStyle="1" w:styleId="FootnoteTextChar">
    <w:name w:val="Footnote Text Char"/>
    <w:basedOn w:val="DefaultParagraphFont"/>
    <w:link w:val="FootnoteText"/>
    <w:semiHidden/>
    <w:rsid w:val="00F52143"/>
    <w:rPr>
      <w:rFonts w:ascii="Times" w:eastAsia="Times New Roman" w:hAnsi="Times" w:cs="Times"/>
      <w:color w:val="000000"/>
      <w:sz w:val="20"/>
      <w:szCs w:val="20"/>
      <w:lang w:eastAsia="zh-CN"/>
    </w:rPr>
  </w:style>
  <w:style w:type="character" w:styleId="FootnoteReference">
    <w:name w:val="footnote reference"/>
    <w:basedOn w:val="DefaultParagraphFont"/>
    <w:uiPriority w:val="99"/>
    <w:semiHidden/>
    <w:unhideWhenUsed/>
    <w:rsid w:val="00F52143"/>
    <w:rPr>
      <w:vertAlign w:val="superscript"/>
    </w:rPr>
  </w:style>
  <w:style w:type="paragraph" w:styleId="BalloonText">
    <w:name w:val="Balloon Text"/>
    <w:basedOn w:val="Normal"/>
    <w:link w:val="BalloonTextChar"/>
    <w:uiPriority w:val="99"/>
    <w:semiHidden/>
    <w:unhideWhenUsed/>
    <w:rsid w:val="00BB2E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E48"/>
    <w:rPr>
      <w:rFonts w:ascii="Segoe UI" w:eastAsia="Times New Roman" w:hAnsi="Segoe UI" w:cs="Segoe UI"/>
      <w:color w:val="000000"/>
      <w:sz w:val="18"/>
      <w:szCs w:val="18"/>
      <w:lang w:eastAsia="zh-CN"/>
    </w:rPr>
  </w:style>
  <w:style w:type="character" w:styleId="CommentReference">
    <w:name w:val="annotation reference"/>
    <w:basedOn w:val="DefaultParagraphFont"/>
    <w:uiPriority w:val="99"/>
    <w:semiHidden/>
    <w:unhideWhenUsed/>
    <w:rsid w:val="00E33766"/>
    <w:rPr>
      <w:sz w:val="16"/>
      <w:szCs w:val="16"/>
    </w:rPr>
  </w:style>
  <w:style w:type="paragraph" w:styleId="CommentText">
    <w:name w:val="annotation text"/>
    <w:basedOn w:val="Normal"/>
    <w:link w:val="CommentTextChar"/>
    <w:unhideWhenUsed/>
    <w:rsid w:val="00E33766"/>
    <w:rPr>
      <w:sz w:val="20"/>
      <w:szCs w:val="20"/>
    </w:rPr>
  </w:style>
  <w:style w:type="character" w:customStyle="1" w:styleId="CommentTextChar">
    <w:name w:val="Comment Text Char"/>
    <w:basedOn w:val="DefaultParagraphFont"/>
    <w:link w:val="CommentText"/>
    <w:rsid w:val="00E33766"/>
    <w:rPr>
      <w:rFonts w:ascii="Times" w:eastAsia="Times New Roman" w:hAnsi="Times" w:cs="Times"/>
      <w:color w:val="000000"/>
      <w:sz w:val="20"/>
      <w:szCs w:val="20"/>
      <w:lang w:eastAsia="zh-CN"/>
    </w:rPr>
  </w:style>
  <w:style w:type="paragraph" w:styleId="CommentSubject">
    <w:name w:val="annotation subject"/>
    <w:basedOn w:val="CommentText"/>
    <w:next w:val="CommentText"/>
    <w:link w:val="CommentSubjectChar"/>
    <w:uiPriority w:val="99"/>
    <w:semiHidden/>
    <w:unhideWhenUsed/>
    <w:rsid w:val="00E33766"/>
    <w:rPr>
      <w:b/>
      <w:bCs/>
    </w:rPr>
  </w:style>
  <w:style w:type="character" w:customStyle="1" w:styleId="CommentSubjectChar">
    <w:name w:val="Comment Subject Char"/>
    <w:basedOn w:val="CommentTextChar"/>
    <w:link w:val="CommentSubject"/>
    <w:uiPriority w:val="99"/>
    <w:semiHidden/>
    <w:rsid w:val="00E33766"/>
    <w:rPr>
      <w:rFonts w:ascii="Times" w:eastAsia="Times New Roman" w:hAnsi="Times" w:cs="Times"/>
      <w:b/>
      <w:bCs/>
      <w:color w:val="000000"/>
      <w:sz w:val="20"/>
      <w:szCs w:val="20"/>
      <w:lang w:eastAsia="zh-CN"/>
    </w:rPr>
  </w:style>
  <w:style w:type="paragraph" w:customStyle="1" w:styleId="Tabletext">
    <w:name w:val="Tabletext"/>
    <w:aliases w:val="tt"/>
    <w:basedOn w:val="Normal"/>
    <w:rsid w:val="00D9189C"/>
    <w:pPr>
      <w:widowControl/>
      <w:spacing w:before="60" w:line="240" w:lineRule="atLeast"/>
    </w:pPr>
    <w:rPr>
      <w:rFonts w:ascii="Times New Roman" w:hAnsi="Times New Roman" w:cs="Times New Roman"/>
      <w:color w:val="auto"/>
      <w:sz w:val="20"/>
      <w:szCs w:val="20"/>
      <w:lang w:eastAsia="en-AU"/>
    </w:rPr>
  </w:style>
  <w:style w:type="character" w:styleId="Hyperlink">
    <w:name w:val="Hyperlink"/>
    <w:basedOn w:val="DefaultParagraphFont"/>
    <w:uiPriority w:val="99"/>
    <w:semiHidden/>
    <w:unhideWhenUsed/>
    <w:rsid w:val="00254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9255">
      <w:bodyDiv w:val="1"/>
      <w:marLeft w:val="0"/>
      <w:marRight w:val="0"/>
      <w:marTop w:val="0"/>
      <w:marBottom w:val="0"/>
      <w:divBdr>
        <w:top w:val="none" w:sz="0" w:space="0" w:color="auto"/>
        <w:left w:val="none" w:sz="0" w:space="0" w:color="auto"/>
        <w:bottom w:val="none" w:sz="0" w:space="0" w:color="auto"/>
        <w:right w:val="none" w:sz="0" w:space="0" w:color="auto"/>
      </w:divBdr>
    </w:div>
    <w:div w:id="57093679">
      <w:bodyDiv w:val="1"/>
      <w:marLeft w:val="0"/>
      <w:marRight w:val="0"/>
      <w:marTop w:val="0"/>
      <w:marBottom w:val="0"/>
      <w:divBdr>
        <w:top w:val="none" w:sz="0" w:space="0" w:color="auto"/>
        <w:left w:val="none" w:sz="0" w:space="0" w:color="auto"/>
        <w:bottom w:val="none" w:sz="0" w:space="0" w:color="auto"/>
        <w:right w:val="none" w:sz="0" w:space="0" w:color="auto"/>
      </w:divBdr>
    </w:div>
    <w:div w:id="70548713">
      <w:bodyDiv w:val="1"/>
      <w:marLeft w:val="0"/>
      <w:marRight w:val="0"/>
      <w:marTop w:val="0"/>
      <w:marBottom w:val="0"/>
      <w:divBdr>
        <w:top w:val="none" w:sz="0" w:space="0" w:color="auto"/>
        <w:left w:val="none" w:sz="0" w:space="0" w:color="auto"/>
        <w:bottom w:val="none" w:sz="0" w:space="0" w:color="auto"/>
        <w:right w:val="none" w:sz="0" w:space="0" w:color="auto"/>
      </w:divBdr>
    </w:div>
    <w:div w:id="165101153">
      <w:bodyDiv w:val="1"/>
      <w:marLeft w:val="0"/>
      <w:marRight w:val="0"/>
      <w:marTop w:val="0"/>
      <w:marBottom w:val="0"/>
      <w:divBdr>
        <w:top w:val="none" w:sz="0" w:space="0" w:color="auto"/>
        <w:left w:val="none" w:sz="0" w:space="0" w:color="auto"/>
        <w:bottom w:val="none" w:sz="0" w:space="0" w:color="auto"/>
        <w:right w:val="none" w:sz="0" w:space="0" w:color="auto"/>
      </w:divBdr>
    </w:div>
    <w:div w:id="253132544">
      <w:bodyDiv w:val="1"/>
      <w:marLeft w:val="0"/>
      <w:marRight w:val="0"/>
      <w:marTop w:val="0"/>
      <w:marBottom w:val="0"/>
      <w:divBdr>
        <w:top w:val="none" w:sz="0" w:space="0" w:color="auto"/>
        <w:left w:val="none" w:sz="0" w:space="0" w:color="auto"/>
        <w:bottom w:val="none" w:sz="0" w:space="0" w:color="auto"/>
        <w:right w:val="none" w:sz="0" w:space="0" w:color="auto"/>
      </w:divBdr>
    </w:div>
    <w:div w:id="389306278">
      <w:bodyDiv w:val="1"/>
      <w:marLeft w:val="0"/>
      <w:marRight w:val="0"/>
      <w:marTop w:val="0"/>
      <w:marBottom w:val="0"/>
      <w:divBdr>
        <w:top w:val="none" w:sz="0" w:space="0" w:color="auto"/>
        <w:left w:val="none" w:sz="0" w:space="0" w:color="auto"/>
        <w:bottom w:val="none" w:sz="0" w:space="0" w:color="auto"/>
        <w:right w:val="none" w:sz="0" w:space="0" w:color="auto"/>
      </w:divBdr>
    </w:div>
    <w:div w:id="680015130">
      <w:bodyDiv w:val="1"/>
      <w:marLeft w:val="0"/>
      <w:marRight w:val="0"/>
      <w:marTop w:val="0"/>
      <w:marBottom w:val="0"/>
      <w:divBdr>
        <w:top w:val="none" w:sz="0" w:space="0" w:color="auto"/>
        <w:left w:val="none" w:sz="0" w:space="0" w:color="auto"/>
        <w:bottom w:val="none" w:sz="0" w:space="0" w:color="auto"/>
        <w:right w:val="none" w:sz="0" w:space="0" w:color="auto"/>
      </w:divBdr>
    </w:div>
    <w:div w:id="683554145">
      <w:bodyDiv w:val="1"/>
      <w:marLeft w:val="0"/>
      <w:marRight w:val="0"/>
      <w:marTop w:val="0"/>
      <w:marBottom w:val="0"/>
      <w:divBdr>
        <w:top w:val="none" w:sz="0" w:space="0" w:color="auto"/>
        <w:left w:val="none" w:sz="0" w:space="0" w:color="auto"/>
        <w:bottom w:val="none" w:sz="0" w:space="0" w:color="auto"/>
        <w:right w:val="none" w:sz="0" w:space="0" w:color="auto"/>
      </w:divBdr>
    </w:div>
    <w:div w:id="1102337212">
      <w:bodyDiv w:val="1"/>
      <w:marLeft w:val="0"/>
      <w:marRight w:val="0"/>
      <w:marTop w:val="0"/>
      <w:marBottom w:val="0"/>
      <w:divBdr>
        <w:top w:val="none" w:sz="0" w:space="0" w:color="auto"/>
        <w:left w:val="none" w:sz="0" w:space="0" w:color="auto"/>
        <w:bottom w:val="none" w:sz="0" w:space="0" w:color="auto"/>
        <w:right w:val="none" w:sz="0" w:space="0" w:color="auto"/>
      </w:divBdr>
    </w:div>
    <w:div w:id="1224952677">
      <w:bodyDiv w:val="1"/>
      <w:marLeft w:val="0"/>
      <w:marRight w:val="0"/>
      <w:marTop w:val="0"/>
      <w:marBottom w:val="0"/>
      <w:divBdr>
        <w:top w:val="none" w:sz="0" w:space="0" w:color="auto"/>
        <w:left w:val="none" w:sz="0" w:space="0" w:color="auto"/>
        <w:bottom w:val="none" w:sz="0" w:space="0" w:color="auto"/>
        <w:right w:val="none" w:sz="0" w:space="0" w:color="auto"/>
      </w:divBdr>
    </w:div>
    <w:div w:id="1382363062">
      <w:bodyDiv w:val="1"/>
      <w:marLeft w:val="0"/>
      <w:marRight w:val="0"/>
      <w:marTop w:val="0"/>
      <w:marBottom w:val="0"/>
      <w:divBdr>
        <w:top w:val="none" w:sz="0" w:space="0" w:color="auto"/>
        <w:left w:val="none" w:sz="0" w:space="0" w:color="auto"/>
        <w:bottom w:val="none" w:sz="0" w:space="0" w:color="auto"/>
        <w:right w:val="none" w:sz="0" w:space="0" w:color="auto"/>
      </w:divBdr>
    </w:div>
    <w:div w:id="1697728936">
      <w:bodyDiv w:val="1"/>
      <w:marLeft w:val="0"/>
      <w:marRight w:val="0"/>
      <w:marTop w:val="0"/>
      <w:marBottom w:val="0"/>
      <w:divBdr>
        <w:top w:val="none" w:sz="0" w:space="0" w:color="auto"/>
        <w:left w:val="none" w:sz="0" w:space="0" w:color="auto"/>
        <w:bottom w:val="none" w:sz="0" w:space="0" w:color="auto"/>
        <w:right w:val="none" w:sz="0" w:space="0" w:color="auto"/>
      </w:divBdr>
    </w:div>
    <w:div w:id="201537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DMS Document" ma:contentTypeID="0x010100266966F133664895A6EE3632470D45F500EFB10A8BAF9307429DA207E7D86882D8" ma:contentTypeVersion="" ma:contentTypeDescription="PDMS Document Site Content Type" ma:contentTypeScope="" ma:versionID="adc15aeccce7f28d754426b0681b0826">
  <xsd:schema xmlns:xsd="http://www.w3.org/2001/XMLSchema" xmlns:xs="http://www.w3.org/2001/XMLSchema" xmlns:p="http://schemas.microsoft.com/office/2006/metadata/properties" xmlns:ns2="2E40A270-D53C-4707-8B31-7B131943CC47" targetNamespace="http://schemas.microsoft.com/office/2006/metadata/properties" ma:root="true" ma:fieldsID="8c970004328897f9e5279f48876c2216" ns2:_="">
    <xsd:import namespace="2E40A270-D53C-4707-8B31-7B131943CC47"/>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A270-D53C-4707-8B31-7B131943CC47"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urityClassification xmlns="2E40A270-D53C-4707-8B31-7B131943CC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CDA703-ABE5-492C-BA0A-07C8AEE99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A270-D53C-4707-8B31-7B131943C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322F22-75C8-4DCF-AD74-BF44F6F0057F}">
  <ds:schemaRefs>
    <ds:schemaRef ds:uri="http://schemas.microsoft.com/office/2006/metadata/properties"/>
    <ds:schemaRef ds:uri="http://schemas.microsoft.com/office/infopath/2007/PartnerControls"/>
    <ds:schemaRef ds:uri="2E40A270-D53C-4707-8B31-7B131943CC47"/>
  </ds:schemaRefs>
</ds:datastoreItem>
</file>

<file path=customXml/itemProps3.xml><?xml version="1.0" encoding="utf-8"?>
<ds:datastoreItem xmlns:ds="http://schemas.openxmlformats.org/officeDocument/2006/customXml" ds:itemID="{7AEF73DF-B1C3-4597-80ED-54EB29DCF61B}">
  <ds:schemaRefs>
    <ds:schemaRef ds:uri="http://schemas.openxmlformats.org/officeDocument/2006/bibliography"/>
  </ds:schemaRefs>
</ds:datastoreItem>
</file>

<file path=customXml/itemProps4.xml><?xml version="1.0" encoding="utf-8"?>
<ds:datastoreItem xmlns:ds="http://schemas.openxmlformats.org/officeDocument/2006/customXml" ds:itemID="{1E3B90D8-2867-4EDC-A7C0-816F27A0C1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4495</Words>
  <Characters>24500</Characters>
  <Application>Microsoft Office Word</Application>
  <DocSecurity>0</DocSecurity>
  <Lines>544</Lines>
  <Paragraphs>140</Paragraphs>
  <ScaleCrop>false</ScaleCrop>
  <HeadingPairs>
    <vt:vector size="2" baseType="variant">
      <vt:variant>
        <vt:lpstr>Title</vt:lpstr>
      </vt:variant>
      <vt:variant>
        <vt:i4>1</vt:i4>
      </vt:variant>
    </vt:vector>
  </HeadingPairs>
  <TitlesOfParts>
    <vt:vector size="1" baseType="lpstr">
      <vt:lpstr/>
    </vt:vector>
  </TitlesOfParts>
  <Company>Department of Foreign Affairs and Trade</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Armstrong</dc:creator>
  <cp:keywords> [SEC=OFFICIAL]</cp:keywords>
  <dc:description/>
  <cp:lastModifiedBy>Joseph Fam</cp:lastModifiedBy>
  <cp:revision>3</cp:revision>
  <cp:lastPrinted>2022-02-25T06:02:00Z</cp:lastPrinted>
  <dcterms:created xsi:type="dcterms:W3CDTF">2022-04-29T06:41:00Z</dcterms:created>
  <dcterms:modified xsi:type="dcterms:W3CDTF">2022-05-03T09:19:00Z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42385742-2139-4c33-a739-a7cf2352e7cb</vt:lpwstr>
  </property>
  <property fmtid="{D5CDD505-2E9C-101B-9397-08002B2CF9AE}" pid="3" name="SEC">
    <vt:lpwstr>OFFICIAL</vt:lpwstr>
  </property>
  <property fmtid="{D5CDD505-2E9C-101B-9397-08002B2CF9AE}" pid="4" name="DLM">
    <vt:lpwstr>No DLM</vt:lpwstr>
  </property>
  <property fmtid="{D5CDD505-2E9C-101B-9397-08002B2CF9AE}" pid="5" name="ContentTypeId">
    <vt:lpwstr>0x010100266966F133664895A6EE3632470D45F500EFB10A8BAF9307429DA207E7D86882D8</vt:lpwstr>
  </property>
  <property fmtid="{D5CDD505-2E9C-101B-9397-08002B2CF9AE}" pid="6" name="PM_ProtectiveMarkingImage_Header">
    <vt:lpwstr>C:\Program Files (x86)\Common Files\janusNET Shared\janusSEAL\Images\DocumentSlashBlue.png</vt:lpwstr>
  </property>
  <property fmtid="{D5CDD505-2E9C-101B-9397-08002B2CF9AE}" pid="7" name="PM_Caveats_Count">
    <vt:lpwstr>0</vt:lpwstr>
  </property>
  <property fmtid="{D5CDD505-2E9C-101B-9397-08002B2CF9AE}" pid="8" name="PM_DisplayValueSecClassificationWithQualifier">
    <vt:lpwstr>OFFICIAL</vt:lpwstr>
  </property>
  <property fmtid="{D5CDD505-2E9C-101B-9397-08002B2CF9AE}" pid="9" name="PM_Qualifier">
    <vt:lpwstr/>
  </property>
  <property fmtid="{D5CDD505-2E9C-101B-9397-08002B2CF9AE}" pid="10" name="PM_SecurityClassification">
    <vt:lpwstr>OFFICIAL</vt:lpwstr>
  </property>
  <property fmtid="{D5CDD505-2E9C-101B-9397-08002B2CF9AE}" pid="11" name="PM_InsertionValue">
    <vt:lpwstr>OFFICIAL</vt:lpwstr>
  </property>
  <property fmtid="{D5CDD505-2E9C-101B-9397-08002B2CF9AE}" pid="12" name="PM_Originating_FileId">
    <vt:lpwstr>4613F8C5EF71404EA087D72ECD52816C</vt:lpwstr>
  </property>
  <property fmtid="{D5CDD505-2E9C-101B-9397-08002B2CF9AE}" pid="13" name="PM_ProtectiveMarkingValue_Footer">
    <vt:lpwstr>OFFICIAL</vt:lpwstr>
  </property>
  <property fmtid="{D5CDD505-2E9C-101B-9397-08002B2CF9AE}" pid="14" name="PM_Originator_Hash_SHA1">
    <vt:lpwstr>F0BFF2105AAC6DD2FAFCE75A892D8555122E2AB7</vt:lpwstr>
  </property>
  <property fmtid="{D5CDD505-2E9C-101B-9397-08002B2CF9AE}" pid="15" name="PM_OriginationTimeStamp">
    <vt:lpwstr>2022-05-03T09:19:16Z</vt:lpwstr>
  </property>
  <property fmtid="{D5CDD505-2E9C-101B-9397-08002B2CF9AE}" pid="16" name="PM_ProtectiveMarkingValue_Header">
    <vt:lpwstr>OFFICIAL</vt:lpwstr>
  </property>
  <property fmtid="{D5CDD505-2E9C-101B-9397-08002B2CF9AE}" pid="17" name="PM_ProtectiveMarkingImage_Footer">
    <vt:lpwstr>C:\Program Files (x86)\Common Files\janusNET Shared\janusSEAL\Images\DocumentSlashBlue.png</vt:lpwstr>
  </property>
  <property fmtid="{D5CDD505-2E9C-101B-9397-08002B2CF9AE}" pid="18" name="PM_Namespace">
    <vt:lpwstr>gov.au</vt:lpwstr>
  </property>
  <property fmtid="{D5CDD505-2E9C-101B-9397-08002B2CF9AE}" pid="19" name="PM_Version">
    <vt:lpwstr>2018.4</vt:lpwstr>
  </property>
  <property fmtid="{D5CDD505-2E9C-101B-9397-08002B2CF9AE}" pid="20" name="PM_Note">
    <vt:lpwstr/>
  </property>
  <property fmtid="{D5CDD505-2E9C-101B-9397-08002B2CF9AE}" pid="21" name="PM_Markers">
    <vt:lpwstr/>
  </property>
  <property fmtid="{D5CDD505-2E9C-101B-9397-08002B2CF9AE}" pid="22" name="PM_Hash_Version">
    <vt:lpwstr>2018.0</vt:lpwstr>
  </property>
  <property fmtid="{D5CDD505-2E9C-101B-9397-08002B2CF9AE}" pid="23" name="PM_Hash_Salt_Prev">
    <vt:lpwstr>97D9702F4CA913DDBBA21EF7624592CF</vt:lpwstr>
  </property>
  <property fmtid="{D5CDD505-2E9C-101B-9397-08002B2CF9AE}" pid="24" name="PM_Hash_Salt">
    <vt:lpwstr>AD1FA15A54C2AA62734F430D6B268D83</vt:lpwstr>
  </property>
  <property fmtid="{D5CDD505-2E9C-101B-9397-08002B2CF9AE}" pid="25" name="PM_Hash_SHA1">
    <vt:lpwstr>E53AA05F3C7C31AB6F9C208A271B4CA4FAA2CE75</vt:lpwstr>
  </property>
  <property fmtid="{D5CDD505-2E9C-101B-9397-08002B2CF9AE}" pid="26" name="PM_SecurityClassification_Prev">
    <vt:lpwstr>OFFICIAL</vt:lpwstr>
  </property>
  <property fmtid="{D5CDD505-2E9C-101B-9397-08002B2CF9AE}" pid="27" name="PM_Qualifier_Prev">
    <vt:lpwstr/>
  </property>
  <property fmtid="{D5CDD505-2E9C-101B-9397-08002B2CF9AE}" pid="28" name="PM_MinimumSecurityClassification">
    <vt:lpwstr>OFFICIAL</vt:lpwstr>
  </property>
  <property fmtid="{D5CDD505-2E9C-101B-9397-08002B2CF9AE}" pid="29" name="PM_Display">
    <vt:lpwstr>OFFICIAL</vt:lpwstr>
  </property>
  <property fmtid="{D5CDD505-2E9C-101B-9397-08002B2CF9AE}" pid="30" name="PM_OriginatorUserAccountName_SHA256">
    <vt:lpwstr>2A565DA483BC2A94BEFCA6661D8AF49C43EB9C70F101823E9BB459989C57911B</vt:lpwstr>
  </property>
  <property fmtid="{D5CDD505-2E9C-101B-9397-08002B2CF9AE}" pid="31" name="PM_OriginatorDomainName_SHA256">
    <vt:lpwstr>6F3591835F3B2A8A025B00B5BA6418010DA3A17C9C26EA9C049FFD28039489A2</vt:lpwstr>
  </property>
</Properties>
</file>