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rStyle w:val="Strong"/>
        </w:rPr>
        <w:t>Follow-Up Letter to the AEC – Re: Compulsory Voting Challenge</w:t>
      </w:r>
    </w:p>
    <w:p>
      <w:pPr>
        <w:pStyle w:val="BodyText"/>
        <w:bidi w:val="0"/>
        <w:spacing w:lineRule="auto" w:line="276" w:before="0" w:after="140"/>
        <w:jc w:val="left"/>
        <w:rPr/>
      </w:pPr>
      <w:r>
        <w:rPr/>
        <w:t>[Your Full Name]</w:t>
        <w:br/>
        <w:t>[Your Postal Address]</w:t>
        <w:br/>
        <w:t>[City, State, Postcode]</w:t>
        <w:br/>
        <w:t>[Email Address]</w:t>
        <w:br/>
        <w:t>[Date]</w:t>
      </w:r>
    </w:p>
    <w:p>
      <w:pPr>
        <w:pStyle w:val="BodyText"/>
        <w:bidi w:val="0"/>
        <w:spacing w:lineRule="auto" w:line="276" w:before="0" w:after="140"/>
        <w:jc w:val="left"/>
        <w:rPr/>
      </w:pPr>
      <w:r>
        <w:rPr/>
        <w:t>To:</w:t>
        <w:br/>
        <w:t>Australian Electoral Commission</w:t>
        <w:br/>
        <w:t>Public Enquiries Team</w:t>
        <w:br/>
        <w:t>[insert AEC postal address or use online submission portal if applicable]</w:t>
      </w:r>
    </w:p>
    <w:p>
      <w:pPr>
        <w:pStyle w:val="BodyText"/>
        <w:bidi w:val="0"/>
        <w:spacing w:lineRule="auto" w:line="276" w:before="0" w:after="140"/>
        <w:jc w:val="left"/>
        <w:rPr/>
      </w:pPr>
      <w:r>
        <w:rPr/>
        <w:t xml:space="preserve">Subject: </w:t>
      </w:r>
      <w:r>
        <w:rPr>
          <w:rStyle w:val="Strong"/>
        </w:rPr>
        <w:t>Lawful Challenge to Compulsory Voting – Request for Constitutional Clarification</w:t>
      </w:r>
    </w:p>
    <w:p>
      <w:pPr>
        <w:pStyle w:val="BodyText"/>
        <w:bidi w:val="0"/>
        <w:spacing w:lineRule="auto" w:line="276" w:before="0" w:after="140"/>
        <w:jc w:val="left"/>
        <w:rPr/>
      </w:pPr>
      <w:r>
        <w:rPr/>
        <w:t>Dear Sam,</w:t>
      </w:r>
    </w:p>
    <w:p>
      <w:pPr>
        <w:pStyle w:val="BodyText"/>
        <w:bidi w:val="0"/>
        <w:spacing w:lineRule="auto" w:line="276" w:before="0" w:after="140"/>
        <w:jc w:val="left"/>
        <w:rPr/>
      </w:pPr>
      <w:r>
        <w:rPr/>
        <w:t>Thank you for your reply dated [Insert Date of Reply] regarding my inquiry into the lawfulness and democratic validity of compulsory voting in Australia.</w:t>
      </w:r>
    </w:p>
    <w:p>
      <w:pPr>
        <w:pStyle w:val="BodyText"/>
        <w:bidi w:val="0"/>
        <w:spacing w:lineRule="auto" w:line="276" w:before="0" w:after="140"/>
        <w:jc w:val="left"/>
        <w:rPr/>
      </w:pPr>
      <w:r>
        <w:rPr/>
        <w:t xml:space="preserve">While I appreciate your prompt response, it is necessary to clarify that my letter did not seek your personal opinion nor a description of your procedural limitations under the </w:t>
      </w:r>
      <w:r>
        <w:rPr>
          <w:rStyle w:val="Emphasis"/>
        </w:rPr>
        <w:t>Commonwealth Electoral Act 1918</w:t>
      </w:r>
      <w:r>
        <w:rPr/>
        <w:t xml:space="preserve">. My correspondence raised a </w:t>
      </w:r>
      <w:r>
        <w:rPr>
          <w:rStyle w:val="Strong"/>
        </w:rPr>
        <w:t>lawful and constitutional challenge</w:t>
      </w:r>
      <w:r>
        <w:rPr/>
        <w:t xml:space="preserve"> grounded in:</w:t>
      </w:r>
    </w:p>
    <w:p>
      <w:pPr>
        <w:pStyle w:val="BodyText"/>
        <w:numPr>
          <w:ilvl w:val="0"/>
          <w:numId w:val="1"/>
        </w:numPr>
        <w:tabs>
          <w:tab w:val="clear" w:pos="709"/>
          <w:tab w:val="left" w:pos="709" w:leader="none"/>
        </w:tabs>
        <w:bidi w:val="0"/>
        <w:ind w:hanging="283" w:left="709"/>
        <w:jc w:val="left"/>
        <w:rPr/>
      </w:pPr>
      <w:r>
        <w:rPr>
          <w:rStyle w:val="Strong"/>
        </w:rPr>
        <w:t>Democracy</w:t>
      </w:r>
      <w:r>
        <w:rPr/>
        <w:t xml:space="preserve">, properly defined as </w:t>
      </w:r>
      <w:r>
        <w:rPr>
          <w:rStyle w:val="Emphasis"/>
        </w:rPr>
        <w:t>government in which the People (Demos) hold Sovereign Power</w:t>
      </w:r>
      <w:r>
        <w:rPr/>
        <w:t>;</w:t>
      </w:r>
    </w:p>
    <w:p>
      <w:pPr>
        <w:pStyle w:val="BodyText"/>
        <w:numPr>
          <w:ilvl w:val="0"/>
          <w:numId w:val="1"/>
        </w:numPr>
        <w:tabs>
          <w:tab w:val="clear" w:pos="709"/>
          <w:tab w:val="left" w:pos="709" w:leader="none"/>
        </w:tabs>
        <w:bidi w:val="0"/>
        <w:ind w:hanging="283" w:left="709"/>
        <w:jc w:val="left"/>
        <w:rPr/>
      </w:pPr>
      <w:r>
        <w:rPr>
          <w:rStyle w:val="Strong"/>
        </w:rPr>
        <w:t>Magna Carta 1215</w:t>
      </w:r>
      <w:r>
        <w:rPr/>
        <w:t xml:space="preserve">, specifically Articles 39 and 40, which enshrine the </w:t>
      </w:r>
      <w:r>
        <w:rPr>
          <w:rStyle w:val="Strong"/>
        </w:rPr>
        <w:t>Trial by Jury</w:t>
      </w:r>
      <w:r>
        <w:rPr/>
        <w:t xml:space="preserve"> and </w:t>
      </w:r>
      <w:r>
        <w:rPr>
          <w:rStyle w:val="Strong"/>
        </w:rPr>
        <w:t>equal access to justice</w:t>
      </w:r>
      <w:r>
        <w:rPr/>
        <w:t xml:space="preserve"> as the People’s mechanism to vet and reject unjust laws;</w:t>
      </w:r>
    </w:p>
    <w:p>
      <w:pPr>
        <w:pStyle w:val="BodyText"/>
        <w:numPr>
          <w:ilvl w:val="0"/>
          <w:numId w:val="1"/>
        </w:numPr>
        <w:tabs>
          <w:tab w:val="clear" w:pos="709"/>
          <w:tab w:val="left" w:pos="709" w:leader="none"/>
        </w:tabs>
        <w:bidi w:val="0"/>
        <w:ind w:hanging="283" w:left="709"/>
        <w:jc w:val="left"/>
        <w:rPr/>
      </w:pPr>
      <w:r>
        <w:rPr>
          <w:rStyle w:val="Strong"/>
        </w:rPr>
        <w:t>Natural Law</w:t>
      </w:r>
      <w:r>
        <w:rPr/>
        <w:t>, which predates and overrules any statutory command when that command violates consent, liberty, and reason;</w:t>
      </w:r>
    </w:p>
    <w:p>
      <w:pPr>
        <w:pStyle w:val="BodyText"/>
        <w:numPr>
          <w:ilvl w:val="0"/>
          <w:numId w:val="1"/>
        </w:numPr>
        <w:tabs>
          <w:tab w:val="clear" w:pos="709"/>
          <w:tab w:val="left" w:pos="709" w:leader="none"/>
        </w:tabs>
        <w:bidi w:val="0"/>
        <w:ind w:hanging="283" w:left="709"/>
        <w:jc w:val="left"/>
        <w:rPr/>
      </w:pPr>
      <w:r>
        <w:rPr/>
        <w:t>The foundational legal thinking of Blackstone, Locke, Coke, and Lysander Spooner, who all affirmed that no government has authority unless it rests upon the free consent of the governed.</w:t>
      </w:r>
    </w:p>
    <w:p>
      <w:pPr>
        <w:pStyle w:val="BodyText"/>
        <w:bidi w:val="0"/>
        <w:jc w:val="left"/>
        <w:rPr/>
      </w:pPr>
      <w:r>
        <w:rPr/>
        <w:t>Your response failed to address these core lawful principles. Instead, it referred me back to the very Parliament whose actions I am lawfully questioning. This is circular and unresponsive to the constitutional issue raised.</w:t>
      </w:r>
    </w:p>
    <w:p>
      <w:pPr>
        <w:pStyle w:val="BodyText"/>
        <w:bidi w:val="0"/>
        <w:jc w:val="left"/>
        <w:rPr/>
      </w:pPr>
      <w:r>
        <w:rPr/>
        <w:t>Let me be clear:</w:t>
      </w:r>
    </w:p>
    <w:p>
      <w:pPr>
        <w:pStyle w:val="BlockQuotation"/>
        <w:bidi w:val="0"/>
        <w:jc w:val="left"/>
        <w:rPr/>
      </w:pPr>
      <w:r>
        <w:rPr>
          <w:rStyle w:val="Strong"/>
        </w:rPr>
        <w:t>Australia is either a Democracy where the People Rule, or it is a Parliamentary Dictatorship.</w:t>
      </w:r>
    </w:p>
    <w:p>
      <w:pPr>
        <w:pStyle w:val="BodyText"/>
        <w:bidi w:val="0"/>
        <w:jc w:val="left"/>
        <w:rPr/>
      </w:pPr>
      <w:r>
        <w:rPr/>
        <w:t>Compulsory voting, enforced through threat of penalty, is not consistent with any valid definition of democracy. If a person does not wish to vote, whether in protest or in conscience, this is their right under Natural Law and People’s Sovereignty. Any legislation that removes this right is invalid ab initio.</w:t>
      </w:r>
    </w:p>
    <w:p>
      <w:pPr>
        <w:pStyle w:val="BodyText"/>
        <w:bidi w:val="0"/>
        <w:jc w:val="left"/>
        <w:rPr/>
      </w:pPr>
      <w:r>
        <w:rPr/>
        <w:t xml:space="preserve">Furthermore, under </w:t>
      </w:r>
      <w:r>
        <w:rPr>
          <w:rStyle w:val="Emphasis"/>
        </w:rPr>
        <w:t>Magna Carta 1215</w:t>
      </w:r>
      <w:r>
        <w:rPr/>
        <w:t xml:space="preserve">, the People retain the authority to judge both the law and its application through the </w:t>
      </w:r>
      <w:r>
        <w:rPr>
          <w:rStyle w:val="Strong"/>
        </w:rPr>
        <w:t>Trial by Jury</w:t>
      </w:r>
      <w:r>
        <w:rPr/>
        <w:t xml:space="preserve"> — a right superior to Parliamentary Statute. That right includes the power to nullify unjust laws such as compulsory voting.</w:t>
      </w:r>
    </w:p>
    <w:p>
      <w:pPr>
        <w:pStyle w:val="BodyText"/>
        <w:bidi w:val="0"/>
        <w:jc w:val="left"/>
        <w:rPr/>
      </w:pPr>
      <w:r>
        <w:rPr/>
        <w:t>I now respectfully request the following clarification:</w:t>
      </w:r>
    </w:p>
    <w:p>
      <w:pPr>
        <w:pStyle w:val="BodyText"/>
        <w:numPr>
          <w:ilvl w:val="0"/>
          <w:numId w:val="2"/>
        </w:numPr>
        <w:tabs>
          <w:tab w:val="clear" w:pos="709"/>
          <w:tab w:val="left" w:pos="709" w:leader="none"/>
        </w:tabs>
        <w:bidi w:val="0"/>
        <w:ind w:hanging="283" w:left="709"/>
        <w:jc w:val="left"/>
        <w:rPr/>
      </w:pPr>
      <w:r>
        <w:rPr>
          <w:rStyle w:val="Strong"/>
        </w:rPr>
        <w:t>Does the AEC recognize that Australia is a Democracy in which the People hold Sovereign Power?</w:t>
      </w:r>
    </w:p>
    <w:p>
      <w:pPr>
        <w:pStyle w:val="BodyText"/>
        <w:numPr>
          <w:ilvl w:val="0"/>
          <w:numId w:val="2"/>
        </w:numPr>
        <w:tabs>
          <w:tab w:val="clear" w:pos="709"/>
          <w:tab w:val="left" w:pos="709" w:leader="none"/>
        </w:tabs>
        <w:bidi w:val="0"/>
        <w:ind w:hanging="283" w:left="709"/>
        <w:jc w:val="left"/>
        <w:rPr/>
      </w:pPr>
      <w:r>
        <w:rPr>
          <w:rStyle w:val="Strong"/>
        </w:rPr>
        <w:t>Does the AEC recognize the continued constitutional force of Magna Carta 1215 and the Trial by Jury as a lawful check on government legislation?</w:t>
      </w:r>
    </w:p>
    <w:p>
      <w:pPr>
        <w:pStyle w:val="BodyText"/>
        <w:numPr>
          <w:ilvl w:val="0"/>
          <w:numId w:val="2"/>
        </w:numPr>
        <w:tabs>
          <w:tab w:val="clear" w:pos="709"/>
          <w:tab w:val="left" w:pos="709" w:leader="none"/>
        </w:tabs>
        <w:bidi w:val="0"/>
        <w:ind w:hanging="283" w:left="709"/>
        <w:jc w:val="left"/>
        <w:rPr/>
      </w:pPr>
      <w:r>
        <w:rPr>
          <w:rStyle w:val="Strong"/>
        </w:rPr>
        <w:t>Does the AEC accept that the People have a lawful right to refuse participation in any government process which violates their conscience, sovereignty, or reason?</w:t>
      </w:r>
    </w:p>
    <w:p>
      <w:pPr>
        <w:pStyle w:val="BodyText"/>
        <w:bidi w:val="0"/>
        <w:jc w:val="left"/>
        <w:rPr/>
      </w:pPr>
      <w:r>
        <w:rPr/>
        <w:t>Should you be unable or unwilling to answer these lawful questions, I will proceed to elevate this matter to Parliament and the People at large. As a public agency, the AEC must not merely obey statutes—it must uphold democracy.</w:t>
      </w:r>
    </w:p>
    <w:p>
      <w:pPr>
        <w:pStyle w:val="BodyText"/>
        <w:bidi w:val="0"/>
        <w:jc w:val="left"/>
        <w:rPr/>
      </w:pPr>
      <w:r>
        <w:rPr/>
        <w:t>I look forward to your lawful response.</w:t>
      </w:r>
    </w:p>
    <w:p>
      <w:pPr>
        <w:pStyle w:val="BodyText"/>
        <w:bidi w:val="0"/>
        <w:jc w:val="left"/>
        <w:rPr/>
      </w:pPr>
      <w:r>
        <w:rPr/>
        <w:t>Yours faithfully,</w:t>
      </w:r>
    </w:p>
    <w:p>
      <w:pPr>
        <w:pStyle w:val="BodyText"/>
        <w:bidi w:val="0"/>
        <w:jc w:val="left"/>
        <w:rPr/>
      </w:pPr>
      <w:r>
        <w:rPr/>
        <w:t>[Your Full Name]</w:t>
      </w:r>
    </w:p>
    <w:p>
      <w:pPr>
        <w:pStyle w:val="HorizontalLine"/>
        <w:bidi w:val="0"/>
        <w:jc w:val="left"/>
        <w:rPr/>
      </w:pPr>
      <w:r>
        <w:rPr/>
      </w:r>
    </w:p>
    <w:p>
      <w:pPr>
        <w:pStyle w:val="BodyText"/>
        <w:bidi w:val="0"/>
        <w:jc w:val="left"/>
        <w:rPr/>
      </w:pPr>
      <w:r>
        <w:rPr>
          <w:rStyle w:val="Emphasis"/>
        </w:rPr>
        <w:t>Prepared pursuant to the People’s Sovereignty under Magna Carta 1215, Natural Law, and the lawful right to dissent from legislative overreach.</w:t>
      </w:r>
    </w:p>
    <w:p>
      <w:pPr>
        <w:pStyle w:val="Normal"/>
        <w:bidi w:val="0"/>
        <w:jc w:val="left"/>
        <w:rPr/>
      </w:pPr>
      <w:r>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1"/>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AU" w:eastAsia="zh-CN" w:bidi="hi-IN"/>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lockQuotation">
    <w:name w:val="Block Quotation"/>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2</Pages>
  <Words>503</Words>
  <Characters>2716</Characters>
  <CharactersWithSpaces>3190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2025-05-08T14:20:33Z</dcterms:created>
  <dc:creator/>
  <dc:description/>
  <dc:language>en-AU</dc:language>
  <cp:lastModifiedBy/>
  <dcterms:modified xsi:type="dcterms:W3CDTF">2025-05-08T14:21:30Z</dcterms:modified>
  <cp:revision>1</cp:revision>
  <dc:subject/>
  <dc:title/>
</cp:coreProperties>
</file>