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INDEPENDENT CONTRACTOR AGREEMENT (V2)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LEGACY LINK / INVESTALINK LLC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Independent Contractor Agreement (“Agreement”) is entered into by and between The Legacy Link, a division of Investalink LLC (“Agency” or “Company”), and the undersigned independent agent (“Agent”).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Effective Date: The latest date signed below.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 DEFINITIONS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“Agency/Company” means The Legacy Link / Investalink LLC.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“Agent” means the independent contractor who signs this Agreement.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“Active Agent” means Agent in good standing, compliant, and not suspended/terminated.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“Issued Policy” means a policy accepted by carrier and in-force.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“Chargeback” means reversal/reduction of paid commission due to lapse/cancel/rescission.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“Compensation Schedule” means the current payout schedule in Exhibit A (as updated in writing by Agency).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“JumpStart” means Agency business-advance/payout model; not guaranteed income.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NATURE OF RELATIONSHIP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Independent Contractor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is an independent contractor and not an employee. Nothing in this Agreement creates an employer–employee relationship, partnership, or joint venture.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1.2 Non-Captive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may contract with other agencies/carriers, provided Agent does not misuse Agency confidential/proprietary information.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1.3 Agent Responsibilities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is responsible for licensing, taxes, business expenses, and legal/regulatory compliance.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LICENSING, COMPLIANCE, AND E&amp;O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Licensing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must maintain all required state insurance licenses.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must follow all state/federal insurance laws, carrier rules, and ethical sales standards.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E&amp;O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must maintain active E&amp;O coverage.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2.4 E&amp;O Limitations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Agency provides E&amp;O, coverage applies only to policies written within Agency hierarchy and terminates upon resignation/termination.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COMPENSATION AND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Commission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Commissions are paid through Agency hierarchy.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Overrides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Overrides are paid under the active Compensation Schedule (Exhibit 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Transfer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Transfer/upline economics are governed by approved written transfer terms and the active Compensation Schedule.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 Chargebacks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Chargebacks are Agent responsibility, with proportional recoupment as outlined in Exhibit 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3.5 Deduction Authorization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authorizes Agency to deduct owed balances from future commissions/bonuses.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3.6 Variability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Compensation may vary by carrier/product/regulatory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3.7 No Earnings Guarantee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Agency does not guarantee leads, sales, commissions, bonuses, or income.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3.8 Sponsorship Program Acknowledgment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acknowledges sponsored policy processing may include split/holdback/release rules under the Compensation Schedule.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SUPPORT AND HIERARCHY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Upline support is provided as guidance and training.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Transfers require written request and Agency approval.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Agency may require reconciliation before transfer approval.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LEAD OWNERSHIP AND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Agency leads remain Agency property.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Leads may not be sold, transferred, or used outside Agency authorization.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Upon termination, Agent must cease contact/use of Agency leads unless required by law.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TECHNOLOGY AND PROPERTY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Agency CRM, numbers, emails, automations, scripts, and systems remain Agency property. Access may be revoked at any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PROGRAM PARTICIPATION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Agent may participate in lead/JumpStart programs under Exhibit 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Agency may adjust pricing/allocations due to operational costs.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 JumpStart tiers are business-model payouts, not guaranteed wages.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7.4 Contract-Sign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Sponsorship-track participants must execute this Agreement electronically before sponsored application submission/final processing.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TERMINATION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Either party may terminate with written notice. Agency may terminate immediately for misconduct, fraud, misrepresentation, or compliance violations.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CONFIDENTIALITY / IP / NON-CIRCUMVENTION / BRAND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shall not disclose, copy, or commercialize Agency proprietary systems, methods, training, compensation logic, recruiting frameworks, automation, or operations. Confidentiality and proprietary protections survive termination.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DISPUTE 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10.1 Good-faith resolution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10.2 Binding arbitration (AAA or similar), venue in North Carolina.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10.3 Agency may seek injunctive relief in court for confidentiality/IP breaches.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10.4 Prevailing party may recover legal fees/costs where permitted by law.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RECORDING CONSENT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Trainings/calls/meetings may be recorded for quality/compliance. Agent consents.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GOVERNING LAW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State of North Carolina.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ELECTRONIC RECORDS AND NOTICES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Electronic signatures and records are binding. Email/platform notices are valid notices unless proven undelivered.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ENTIRE AGREEMENT / SEVERABILITY / ASSIGNMENT / AMENDMENTS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Agreement plus Exhibit A is the entire agreement. If any provision is unenforceable, remaining provisions remain in force. Agent may not assign without written Agency consent. Amendments must be in writing.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EXHIBIT A — COMPENSATION SCHEDULE (INCORPORATED BY REFERENCE)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Small Policy Total: $1,200 (Special Agent $600 / Regional Director $300 / Legacy Visionary $200 / Agency Owner $100)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 Policy Total: $2,400 (Special Agent $1,200 / Regional Director $600 / Legacy Visionary $400 / Agency Owner $200)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Unlicensed split: 50% initial + 50% hold until licensing completion + first issued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double payout on skipped tiers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Chargeback recoupment applies proportionally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payout cadence: Friday, subject to compliance/carrier timing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SIGNATURE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Name: 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Signature: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Email: 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COMPANY SIGNATURE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Authorized Representative (The Legacy Link / Investalink LLC): 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Title: 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Signature: 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_____________________________________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