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ind w:firstLine="0"/>
        <w:jc w:val="center"/>
      </w:pPr>
      <w:r>
        <w:rPr>
          <w:b/>
          <w:sz w:val="22"/>
        </w:rPr>
        <w:t>МИНИСТЕРСТВО НАУКИ И ВЫСШЕГО ОБРАЗОВАНИЯ РОССИЙСКОЙ ФЕДЕРАЦИИ</w:t>
        <w:br/>
      </w:r>
      <w:r>
        <w:rPr>
          <w:sz w:val="20"/>
        </w:rPr>
        <w:t>ФЕДЕРАЛЬНОЕ ГОСУДАРСТВЕННОЕ АВТОНОМНОЕ ОБРАЗОВАТЕЛЬНОЕ УЧРЕЖДЕНИЕ</w:t>
        <w:br/>
        <w:t>ВЫСШЕГО ОБРАЗОВАНИЯ</w:t>
        <w:br/>
      </w:r>
      <w:r>
        <w:rPr>
          <w:b/>
          <w:sz w:val="24"/>
        </w:rPr>
        <w:t>«СЕВЕРО-КАВКАЗСКИЙ ФЕДЕРАЛЬНЫЙ УНИВЕРСИТЕТ»</w:t>
        <w:br/>
        <w:br/>
      </w:r>
      <w:r>
        <w:rPr>
          <w:sz w:val="24"/>
        </w:rPr>
        <w:t>Институт цифрового развития</w:t>
        <w:br/>
      </w:r>
      <w:r>
        <w:rPr>
          <w:sz w:val="24"/>
        </w:rPr>
        <w:t>Кафедра информационных технологий</w:t>
        <w:br/>
      </w:r>
    </w:p>
    <w:p>
      <w:pPr>
        <w:spacing w:before="800"/>
        <w:ind w:firstLine="0"/>
      </w:pPr>
    </w:p>
    <w:p>
      <w:pPr>
        <w:spacing w:line="360" w:lineRule="auto"/>
        <w:ind w:firstLine="0"/>
        <w:jc w:val="center"/>
      </w:pPr>
      <w:r>
        <w:rPr>
          <w:b/>
          <w:sz w:val="36"/>
        </w:rPr>
        <w:t>ОТЧЕТ</w:t>
        <w:br/>
      </w:r>
      <w:r>
        <w:rPr>
          <w:b/>
          <w:sz w:val="28"/>
        </w:rPr>
        <w:t>по практической работе № 1</w:t>
        <w:br/>
      </w:r>
      <w:r>
        <w:rPr>
          <w:sz w:val="28"/>
        </w:rPr>
        <w:t>по дисциплине «Искусственный интеллект в профессиональной сфере»</w:t>
        <w:br/>
        <w:br/>
      </w:r>
      <w:r>
        <w:rPr>
          <w:sz w:val="28"/>
        </w:rPr>
        <w:t xml:space="preserve">Тема: </w:t>
      </w:r>
      <w:r>
        <w:rPr>
          <w:b/>
          <w:sz w:val="28"/>
        </w:rPr>
        <w:t>«Искусственный интеллект: основные понятия и история возникновения»</w:t>
        <w:br/>
      </w:r>
    </w:p>
    <w:p>
      <w:pPr>
        <w:spacing w:before="960"/>
        <w:ind w:firstLine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/>
        </w:tc>
        <w:tc>
          <w:tcPr>
            <w:tcW w:type="dxa" w:w="6048"/>
          </w:tcPr>
          <w:p>
            <w:pPr>
              <w:spacing w:line="276" w:lineRule="auto"/>
              <w:ind w:firstLine="0"/>
              <w:jc w:val="left"/>
            </w:pPr>
            <w:r>
              <w:rPr>
                <w:b/>
                <w:sz w:val="24"/>
              </w:rPr>
              <w:t>Выполнил:</w:t>
              <w:br/>
            </w:r>
            <w:r>
              <w:t>студент 3 курса группы ПИН-б-о-24-1(2)</w:t>
              <w:br/>
              <w:t>очной формы обучения</w:t>
              <w:br/>
              <w:t>направления подготовки:</w:t>
              <w:br/>
              <w:t>09.03.03 «Прикладная информатика»</w:t>
              <w:br/>
              <w:t>Мухамеджанов Эльёр Тимурович</w:t>
              <w:br/>
              <w:br/>
            </w:r>
            <w:r>
              <w:rPr>
                <w:b/>
                <w:sz w:val="24"/>
              </w:rPr>
              <w:t>Проверил:</w:t>
              <w:br/>
            </w:r>
            <w:r>
              <w:t>доцент кафедры ИТ,</w:t>
              <w:br/>
              <w:t>к.т.н., доцент</w:t>
              <w:br/>
              <w:t>Березина Виктория Андреевна</w:t>
              <w:br/>
            </w:r>
          </w:p>
        </w:tc>
      </w:tr>
    </w:tbl>
    <w:p>
      <w:pPr>
        <w:spacing w:before="1280"/>
        <w:ind w:firstLine="0"/>
      </w:pPr>
    </w:p>
    <w:p>
      <w:pPr>
        <w:ind w:firstLine="0"/>
        <w:jc w:val="center"/>
      </w:pPr>
      <w:r>
        <w:rPr>
          <w:sz w:val="24"/>
        </w:rPr>
        <w:t>Ставрополь, 2026 г.</w:t>
      </w:r>
    </w:p>
    <w:p>
      <w:r>
        <w:br w:type="page"/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ЗАНЯТИЯ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Ознакомиться с основными понятиями искусственного интеллекта и дать общую характеристику задачам, решаемым методами искусственного интеллекта.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ВОПРОСЫ, ВЫНОСИМЫЕ НА ОБСУЖДЕНИЕ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Основные понятия систем искусственного интеллекта.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Общая характеристика задач, решаемых методами искусственного интеллекта.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1. Расшифровка аббревиатур из области искусственного интеллекта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1</w:t>
      </w:r>
      <w:r>
        <w:rPr>
          <w:rFonts w:ascii="Times New Roman" w:hAnsi="Times New Roman"/>
          <w:sz w:val="28"/>
        </w:rPr>
        <w:t xml:space="preserve"> — Задание 1. Расшифровка аббревиатур из области искусственного интеллекта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Аббревиатура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Полное наименование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Определение и назначение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Искусственный Интеллект </w:t>
            </w:r>
            <w:r>
              <w:rPr>
                <w:rFonts w:ascii="Times New Roman" w:hAnsi="Times New Roman"/>
                <w:i/>
                <w:sz w:val="24"/>
              </w:rPr>
              <w:t>(Artificial Intelligence, AI)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Научное направление и комплекс технологических решений, имитирующих когнитивные функции человека (восприятие, рассуждение, обучение, принятие решений) для решения прикладных задач.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ЭС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Экспертная Система </w:t>
            </w:r>
            <w:r>
              <w:rPr>
                <w:rFonts w:ascii="Times New Roman" w:hAnsi="Times New Roman"/>
                <w:i/>
                <w:sz w:val="24"/>
              </w:rPr>
              <w:t>(Expert System, ES)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Интеллектуальная вычислительная система, аккумулирующая знания высококвалифицированных экспертов в узкой предметной области и способная воспроизводить процесс решения задач человеком-специалистом с выдачей логических объяснений.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БЗ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База Знаний </w:t>
            </w:r>
            <w:r>
              <w:rPr>
                <w:rFonts w:ascii="Times New Roman" w:hAnsi="Times New Roman"/>
                <w:i/>
                <w:sz w:val="24"/>
              </w:rPr>
              <w:t>(Knowledge Base, KB)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Организованная совокупность фактов, концептов, правил вывода, эвристик и онтологических связей о предметной области, представленная на формальном машинно-интерпретируемом языке.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ИНС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Искусственная Нейронная Сеть </w:t>
            </w:r>
            <w:r>
              <w:rPr>
                <w:rFonts w:ascii="Times New Roman" w:hAnsi="Times New Roman"/>
                <w:i/>
                <w:sz w:val="24"/>
              </w:rPr>
              <w:t>(Artificial Neural Network, ANN)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Вычислительная модель, инспирированная биологическими нейронными сетями мозга, представляющая собой граф связанных математических нейронов и способная решать задачи классификации, аппроксимации и прогнозирования через обучение на эмпирических данных.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РП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Рабочая Память </w:t>
            </w:r>
            <w:r>
              <w:rPr>
                <w:rFonts w:ascii="Times New Roman" w:hAnsi="Times New Roman"/>
                <w:i/>
                <w:sz w:val="24"/>
              </w:rPr>
              <w:t>(Working Memory)</w:t>
            </w:r>
            <w:r>
              <w:rPr>
                <w:rFonts w:ascii="Times New Roman" w:hAnsi="Times New Roman"/>
                <w:sz w:val="24"/>
              </w:rPr>
              <w:t xml:space="preserve"> / Решатель Проблем </w:t>
            </w:r>
            <w:r>
              <w:rPr>
                <w:rFonts w:ascii="Times New Roman" w:hAnsi="Times New Roman"/>
                <w:i/>
                <w:sz w:val="24"/>
              </w:rPr>
              <w:t>(Problem Solver)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Динамическая область памяти интеллектуальной системы, хранящая текущие исходные факты, промежуточные состояния рассуждений и гипотезы, полученные в рамках текущей решаемой сессии.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2. Схематичное изображение компонентов Интеллектуальной системы принятия решений (ИСПР)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flowchart TD</w:t>
              <w:br/>
              <w:t xml:space="preserve">    User([Пользователь / Клиентское приложение]):::actor</w:t>
              <w:br/>
              <w:t xml:space="preserve">    Engineer([Инженер по знаниям / Эксперт]):::actor</w:t>
              <w:br/>
              <w:br/>
              <w:t xml:space="preserve">    subgraph ISPR [Интеллектуальная система принятия решений]</w:t>
              <w:br/>
              <w:t xml:space="preserve">        UI[Пользовательский интерфейс / API шлюз]</w:t>
              <w:br/>
              <w:t xml:space="preserve">        Explanation[Подсистема объяснений]</w:t>
              <w:br/>
              <w:t xml:space="preserve">        Inference[Машина логического вывода / Решатель]</w:t>
              <w:br/>
              <w:t xml:space="preserve">        WorkingMem[(Рабочая память / База текущих фактов)]</w:t>
              <w:br/>
              <w:t xml:space="preserve">        KnowledgeBase[(База знаний: онтологии, правила, веса моделей)]</w:t>
              <w:br/>
              <w:t xml:space="preserve">        KnowledgeAcq[Подсистема приобретения и актуализации знаний]</w:t>
              <w:br/>
              <w:t xml:space="preserve">    end</w:t>
              <w:br/>
              <w:br/>
              <w:t xml:space="preserve">    User &lt;--&gt;|Запрос / Решение и рекомендации| UI</w:t>
              <w:br/>
              <w:t xml:space="preserve">    UI &lt;--&gt; Inference</w:t>
              <w:br/>
              <w:t xml:space="preserve">    UI &lt;--&gt; Explanation</w:t>
              <w:br/>
              <w:t xml:space="preserve">    Inference &lt;--&gt; WorkingMem</w:t>
              <w:br/>
              <w:t xml:space="preserve">    Inference &lt;--&gt; KnowledgeBase</w:t>
              <w:br/>
              <w:t xml:space="preserve">    Explanation &lt;-.-&gt;|Трассировка шагов вывода| Inference</w:t>
              <w:br/>
              <w:t xml:space="preserve">    Engineer &lt;--&gt;|Формализация и ввод знаний| KnowledgeAcq</w:t>
              <w:br/>
              <w:t xml:space="preserve">    KnowledgeAcq --&gt; KnowledgeBase</w:t>
              <w:br/>
              <w:br/>
              <w:t xml:space="preserve">    classDef actor fill:#e1f5fe,stroke:#0288d1,stroke-width:2px;</w:t>
              <w:br/>
              <w:t xml:space="preserve">    classDef default fill:#f3e5f5,stroke:#7b1fa2,stroke-width:1px;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1</w:t>
      </w:r>
      <w:r>
        <w:rPr>
          <w:rFonts w:ascii="Times New Roman" w:hAnsi="Times New Roman"/>
          <w:sz w:val="28"/>
        </w:rPr>
        <w:t xml:space="preserve"> — Задание 2. Схематичное изображение компонентов Интеллектуальной системы принятия решений (ИСПР)</w:t>
      </w:r>
    </w:p>
    <w:p>
      <w:pPr>
        <w:keepNext/>
        <w:spacing w:before="200" w:after="8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Описание взаимосвязи компонентов: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Пользовательский интерфейс / API</w:t>
      </w:r>
      <w:r>
        <w:rPr>
          <w:rFonts w:ascii="Times New Roman" w:hAnsi="Times New Roman"/>
          <w:sz w:val="28"/>
        </w:rPr>
        <w:t>: принимает исходные параметры задачи от внешнего пользователя или клиентского сервиса (веб-приложения) и возвращает готовое решение.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Рабочая память</w:t>
      </w:r>
      <w:r>
        <w:rPr>
          <w:rFonts w:ascii="Times New Roman" w:hAnsi="Times New Roman"/>
          <w:sz w:val="28"/>
        </w:rPr>
        <w:t>: содержит факты конкретной текущей сессии (например, текущие метрики сетевого соединения игрока или расклад в партии).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База знаний</w:t>
      </w:r>
      <w:r>
        <w:rPr>
          <w:rFonts w:ascii="Times New Roman" w:hAnsi="Times New Roman"/>
          <w:sz w:val="28"/>
        </w:rPr>
        <w:t>: долговременное хранилище абстрактных правил, закономерностей и моделей экспертов.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Машина логического вывода</w:t>
      </w:r>
      <w:r>
        <w:rPr>
          <w:rFonts w:ascii="Times New Roman" w:hAnsi="Times New Roman"/>
          <w:sz w:val="28"/>
        </w:rPr>
        <w:t>: применяет продукционные правила или алгоритмы поиска решений к данным из рабочей памяти, используя базу знаний.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Подсистема объяснений</w:t>
      </w:r>
      <w:r>
        <w:rPr>
          <w:rFonts w:ascii="Times New Roman" w:hAnsi="Times New Roman"/>
          <w:sz w:val="28"/>
        </w:rPr>
        <w:t>: обосновывает пользователю, почему система пришла к данному выводу (критично для доверия к ИИ).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b/>
          <w:sz w:val="28"/>
        </w:rPr>
        <w:t>Подсистема приобретения знаний</w:t>
      </w:r>
      <w:r>
        <w:rPr>
          <w:rFonts w:ascii="Times New Roman" w:hAnsi="Times New Roman"/>
          <w:sz w:val="28"/>
        </w:rPr>
        <w:t>: автоматизирует или облегчает инженеру по знаниям процесс пополнения и верификации базы знаний.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3. Процесс добычи и обработки знаний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Процесс инженерии знаний (Knowledge Engineering &amp; Data/Knowledge Mining) представляет собой структурированный цикл преобразования неявных знаний экспертов и сырых данных в формализованную машинную модель.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nsolas" w:hAnsi="Consolas"/>
                <w:sz w:val="20"/>
              </w:rPr>
              <w:t>+-----------------------+     +----------------------+     +-----------------------+</w:t>
              <w:br/>
              <w:t>|  1. Идентификация     | --&gt; |  2. Извлечение       | --&gt; |  3. Концептуализация  |</w:t>
              <w:br/>
              <w:t>|  проблемы и границ    |     |  знаний (интервью,   |     |  (построение          |</w:t>
              <w:br/>
              <w:t>|  предметной области   |     |  логи, метрики)      |     |  онтологической карты)|</w:t>
              <w:br/>
              <w:t>+-----------------------+     +----------------------+     +-----------------------+</w:t>
              <w:br/>
              <w:t xml:space="preserve">                                                                      |</w:t>
              <w:br/>
              <w:t xml:space="preserve">                                                                      v</w:t>
              <w:br/>
              <w:t>+-----------------------+     +----------------------+     +-----------------------+</w:t>
              <w:br/>
              <w:t>|  6. Сопровождение     | &lt;-- |  5. Верификация      | &lt;-- |  4. Формализация      |</w:t>
              <w:br/>
              <w:t>|  и адаптация знаний   |     |  и валидация базы    |     |  (продукции, фреймы,  |</w:t>
              <w:br/>
              <w:t>|  в рабочей среде      |     |  знаний на тестах    |     |  семантические графы) |</w:t>
              <w:br/>
              <w:t>+-----------------------+     +----------------------+     +-----------------------+</w:t>
            </w:r>
          </w:p>
        </w:tc>
      </w:tr>
    </w:tbl>
    <w:p>
      <w:pPr>
        <w:spacing w:before="120" w:after="240"/>
        <w:ind w:firstLine="0"/>
        <w:jc w:val="center"/>
      </w:pPr>
      <w:r>
        <w:rPr>
          <w:rFonts w:ascii="Times New Roman" w:hAnsi="Times New Roman"/>
          <w:b/>
          <w:sz w:val="28"/>
        </w:rPr>
        <w:t>Рисунок 2</w:t>
      </w:r>
      <w:r>
        <w:rPr>
          <w:rFonts w:ascii="Times New Roman" w:hAnsi="Times New Roman"/>
          <w:sz w:val="28"/>
        </w:rPr>
        <w:t xml:space="preserve"> — Задание 3. Процесс добычи и обработки знаний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Идентификация:</w:t>
      </w:r>
      <w:r>
        <w:rPr>
          <w:rFonts w:ascii="Times New Roman" w:hAnsi="Times New Roman"/>
          <w:sz w:val="28"/>
        </w:rPr>
        <w:t xml:space="preserve"> определение класса решаемых задач, необходимых ресурсов, экспертов и критериев успешности решения.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Извлечение знаний (Acquisition):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Пассивные методы:</w:t>
      </w:r>
      <w:r>
        <w:rPr>
          <w:rFonts w:ascii="Times New Roman" w:hAnsi="Times New Roman"/>
          <w:sz w:val="28"/>
        </w:rPr>
        <w:t xml:space="preserve"> анализ технической документации, исходного кода, сетевых логов и игровых сессий.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Активные методы:</w:t>
      </w:r>
      <w:r>
        <w:rPr>
          <w:rFonts w:ascii="Times New Roman" w:hAnsi="Times New Roman"/>
          <w:sz w:val="28"/>
        </w:rPr>
        <w:t xml:space="preserve"> диалоги, опросы, анкетирование экспертов (геймдизайнеров, ведущих сетевых инженеров).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Автоматические методы:</w:t>
      </w:r>
      <w:r>
        <w:rPr>
          <w:rFonts w:ascii="Times New Roman" w:hAnsi="Times New Roman"/>
          <w:sz w:val="28"/>
        </w:rPr>
        <w:t xml:space="preserve"> машинное обучение и data mining на исторических базах данных.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Концептуализация:</w:t>
      </w:r>
      <w:r>
        <w:rPr>
          <w:rFonts w:ascii="Times New Roman" w:hAnsi="Times New Roman"/>
          <w:sz w:val="28"/>
        </w:rPr>
        <w:t xml:space="preserve"> выявление базовых понятий, атрибутов, ограничений и связей между объектами предметной области (составление глоссария и онтологии).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Формализация:</w:t>
      </w:r>
      <w:r>
        <w:rPr>
          <w:rFonts w:ascii="Times New Roman" w:hAnsi="Times New Roman"/>
          <w:sz w:val="28"/>
        </w:rPr>
        <w:t xml:space="preserve"> выбор моделей представления знаний (продукционные правила </w:t>
      </w:r>
      <w:r>
        <w:rPr>
          <w:rFonts w:ascii="Consolas" w:hAnsi="Consolas"/>
          <w:sz w:val="26"/>
        </w:rPr>
        <w:t>IF-THEN</w:t>
      </w:r>
      <w:r>
        <w:rPr>
          <w:rFonts w:ascii="Times New Roman" w:hAnsi="Times New Roman"/>
          <w:sz w:val="28"/>
        </w:rPr>
        <w:t>, фреймы, байесовские сети, нечеткая логика) и запись знаний на формальном языке.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b/>
          <w:sz w:val="28"/>
        </w:rPr>
        <w:t>Тестирование и верификация:</w:t>
      </w:r>
      <w:r>
        <w:rPr>
          <w:rFonts w:ascii="Times New Roman" w:hAnsi="Times New Roman"/>
          <w:sz w:val="28"/>
        </w:rPr>
        <w:t xml:space="preserve"> проверка непротиворечивости, полноты, отсутствия циклов в графе вывода и точности решений на контрольной выборке реальных ситуаций.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b/>
          <w:sz w:val="28"/>
        </w:rPr>
        <w:t>Актуализация и сопровождение:</w:t>
      </w:r>
      <w:r>
        <w:rPr>
          <w:rFonts w:ascii="Times New Roman" w:hAnsi="Times New Roman"/>
          <w:sz w:val="28"/>
        </w:rPr>
        <w:t xml:space="preserve"> непрерывная калибровка весов правил по мере изменения параметров предметной области.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4. Задачи из профессиональной области (09.03.03 «Прикладная информатика», мультиплеерные веб-игры), решаемые методами ИИ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сфере проектирования и разработки программного обеспечения высоконагруженных веб-приложений и мультиплеерных браузерных игровых платформ (на примере проектов студии NecroGames) искусственный интеллект эффективно решает следующие ключевые задачи: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b/>
          <w:sz w:val="28"/>
        </w:rPr>
        <w:t>Интеллектуальный динамический баланс сложности (Dynamic Difficulty Adjustment, DDA):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Проблема:</w:t>
      </w:r>
      <w:r>
        <w:rPr>
          <w:rFonts w:ascii="Times New Roman" w:hAnsi="Times New Roman"/>
          <w:sz w:val="28"/>
        </w:rPr>
        <w:t xml:space="preserve"> удержание удержания (retention) игроков с разным уровнем подготовки.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Решение ИИ:</w:t>
      </w:r>
      <w:r>
        <w:rPr>
          <w:rFonts w:ascii="Times New Roman" w:hAnsi="Times New Roman"/>
          <w:sz w:val="28"/>
        </w:rPr>
        <w:t xml:space="preserve"> алгоритмы адаптивного подбора соперников и динамического поведения ИИ-ботов в комнатах, предотвращающие как скуку сильных игроков, так и фрустрацию новичков.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b/>
          <w:sz w:val="28"/>
        </w:rPr>
        <w:t>Обнаружение читов, ботов и недобросовестного поведения (Anti-Cheat &amp; Fraud Detection):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Проблема:</w:t>
      </w:r>
      <w:r>
        <w:rPr>
          <w:rFonts w:ascii="Times New Roman" w:hAnsi="Times New Roman"/>
          <w:sz w:val="28"/>
        </w:rPr>
        <w:t xml:space="preserve"> использование автокликеров, скриптов анализа трафика и подмены WebSocket-сообщений.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Решение ИИ:</w:t>
      </w:r>
      <w:r>
        <w:rPr>
          <w:rFonts w:ascii="Times New Roman" w:hAnsi="Times New Roman"/>
          <w:sz w:val="28"/>
        </w:rPr>
        <w:t xml:space="preserve"> нейросетевая классификация последовательностей координат курсора мыши, таймингов кликов и аномалий в поведении игрока (с использованием LSTM / автоэнкодеров).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b/>
          <w:sz w:val="28"/>
        </w:rPr>
        <w:t>Предиктивная компенсация сетевого лага (Client-Side Lag Prediction):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Проблема:</w:t>
      </w:r>
      <w:r>
        <w:rPr>
          <w:rFonts w:ascii="Times New Roman" w:hAnsi="Times New Roman"/>
          <w:sz w:val="28"/>
        </w:rPr>
        <w:t xml:space="preserve"> нестабильный пинг и джиттер у клиентов браузерных игр ухудшают плавность синхронизации.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Решение ИИ:</w:t>
      </w:r>
      <w:r>
        <w:rPr>
          <w:rFonts w:ascii="Times New Roman" w:hAnsi="Times New Roman"/>
          <w:sz w:val="28"/>
        </w:rPr>
        <w:t xml:space="preserve"> алгоритмы машинного обучения для предсказания траекторий и действий игроков на период потери пакетов (Dead Reckoning нового поколения на базе ИНС).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b/>
          <w:sz w:val="28"/>
        </w:rPr>
        <w:t>Процедурная генерация сбалансированного контента (PCG):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Проблема:</w:t>
      </w:r>
      <w:r>
        <w:rPr>
          <w:rFonts w:ascii="Times New Roman" w:hAnsi="Times New Roman"/>
          <w:sz w:val="28"/>
        </w:rPr>
        <w:t xml:space="preserve"> ручное создание и балансировка сотен игровых карт, предметов и характеристик отнимает много времени и подвержено ошибкам баланса.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 w:val="0"/>
          <w:sz w:val="28"/>
        </w:rPr>
        <w:t xml:space="preserve">– </w:t>
      </w:r>
      <w:r>
        <w:rPr>
          <w:rFonts w:ascii="Times New Roman" w:hAnsi="Times New Roman"/>
          <w:i/>
          <w:sz w:val="28"/>
        </w:rPr>
        <w:t>Решение ИИ:</w:t>
      </w:r>
      <w:r>
        <w:rPr>
          <w:rFonts w:ascii="Times New Roman" w:hAnsi="Times New Roman"/>
          <w:sz w:val="28"/>
        </w:rPr>
        <w:t xml:space="preserve"> применение генетических алгоритмов для синтеза колод и параметров с заданной целевой метрикой соревновательного паритета (Win Rate близкий к 50%).</w:t>
      </w:r>
    </w:p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5. Примеры систем искусственного интеллекта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2</w:t>
      </w:r>
      <w:r>
        <w:rPr>
          <w:rFonts w:ascii="Times New Roman" w:hAnsi="Times New Roman"/>
          <w:sz w:val="28"/>
        </w:rPr>
        <w:t xml:space="preserve"> — Задание 5. Примеры систем искусственного интеллекта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Пример искусственного интеллекта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Область применения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Тип искусственного интеллекта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Stockfish / Leela Chess Zero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Компьютерные шахматы, стратегический анализ позиций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 xml:space="preserve">Гибридный ИИ: эвристический поиск </w:t>
            </w:r>
            <w:r>
              <w:rPr>
                <w:rFonts w:ascii="Times New Roman" w:hAnsi="Times New Roman"/>
                <w:i/>
                <w:sz w:val="24"/>
              </w:rPr>
              <w:t>α</w:t>
            </w:r>
            <w:r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i/>
                <w:sz w:val="24"/>
              </w:rPr>
              <w:t>β</w:t>
            </w:r>
            <w:r>
              <w:rPr>
                <w:rFonts w:ascii="Times New Roman" w:hAnsi="Times New Roman"/>
                <w:sz w:val="24"/>
              </w:rPr>
              <w:t xml:space="preserve"> отсечением + глубокие сверточные сети с обучением с подкреплением (Deep RL)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MYCIN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Медицинская диагностика бактериальных инфекций крови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Классическая символьная продукционная экспертная система с коэффициентами уверенности (Certainty Factors)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OpenAI Five / AlphaStar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Киберспортивные мультиплеерные стратегии (Dota 2, StarCraft II)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Многоагентное глубокое обучение с подкреплением (Multi-Agent Actor-Critic Deep RL)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YOLOv8 (You Only Look Once)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Компьютерное зрение: детекция объектов в реальном времени, видеоаналитика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Глубокая сверхточная нейронная сеть (CNN) прямого распространения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Климат-контроль на Fuzzy Logic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Встраиваемые микроконтроллерные системы бытовой и автомобильной техники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Нечеткая логическая система (Fuzzy Logic Controller по модели Мамдани)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Netcode Anomaly Detector (NecroGames)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Мониторинг сетевых аномалий в веб-играх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Нечеткая экспертная система в комбинации с рекуррентной ИНС</w:t>
            </w:r>
          </w:p>
        </w:tc>
      </w:tr>
    </w:tbl>
    <w:p>
      <w:pPr>
        <w:keepNext/>
        <w:spacing w:before="280" w:after="120"/>
        <w:ind w:firstLine="706"/>
        <w:jc w:val="left"/>
      </w:pPr>
      <w:r>
        <w:rPr>
          <w:rFonts w:ascii="Times New Roman" w:hAnsi="Times New Roman"/>
          <w:b/>
          <w:color w:val="000000"/>
          <w:sz w:val="28"/>
        </w:rPr>
        <w:t>Задание 6. Сущностные отличия задач ИИ от традиционных вычислительных задач</w:t>
      </w:r>
    </w:p>
    <w:p>
      <w:pPr>
        <w:keepNext/>
        <w:spacing w:before="240" w:after="80"/>
        <w:ind w:firstLine="706"/>
        <w:jc w:val="left"/>
      </w:pPr>
      <w:r>
        <w:rPr>
          <w:rFonts w:ascii="Times New Roman" w:hAnsi="Times New Roman"/>
          <w:b/>
          <w:sz w:val="28"/>
        </w:rPr>
        <w:t>Таблица 3</w:t>
      </w:r>
      <w:r>
        <w:rPr>
          <w:rFonts w:ascii="Times New Roman" w:hAnsi="Times New Roman"/>
          <w:sz w:val="28"/>
        </w:rPr>
        <w:t xml:space="preserve"> — Задание 6. Сущностные отличия задач ИИ от традиционных вычислительных задач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Критерий сравнения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Традиционные задачи на ЭВМ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Задачи искусственного интеллекта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Характер алгоритма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Детерминированный, пошаговый, строго формализованный алгоритм, всегда приводящий к однозначному результату.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Эвристический, адаптивный; алгоритм оптимизирует функцию приспособленности или ищет правдоподобное решение в огромном пространстве состояний.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Полнота и качество входных данных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Требуются точные, полные, непротиворечивые исходные числовые или структурированные данные.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Способность эффективно работать в условиях неполноты, зашумленности, стохастичности и нечеткости информации.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Форма представления информации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Преимущественно числовые массивы, таблицы, бинарные структуры данных.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Символьные структуры, графы знаний, фреймы, эмбеддинги, концептуальные онтологии.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Способность к обобщению и обучению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Отсутствует. Программа выполняет ровно те ветвления, которые жестко заложил разработчик в исходный код.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Присутствует способность к индуктивному выводу: система обучается на примерах и способна корректно классифицировать ранее не встречавшиеся ситуации.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Интерпретируемость решений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Прямой трассировкой кода через отладчик (дебаггер).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sz w:val="24"/>
              </w:rPr>
              <w:t>Требуются специальные механизмы объяснения (Explainable AI, графы логического вывода, карты внимания Attention).</w:t>
            </w:r>
          </w:p>
        </w:tc>
      </w:tr>
    </w:tbl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sz w:val="28"/>
        </w:rPr>
        <w:t>В ходе практической работы № 1 изучены базовые категории искусственного интеллекта, понятийный аппарат и структурные элементы ИСПР. Продемонстрировано, что применительно к направлению «Прикладная информатика» и разработке сетевых веб-платформ методы ИИ позволяют автоматизировать класс слабоструктурированных задач (детекция аномалий, динамическая адаптация геймплея), решение которых классическими алгоритмическими методами неэффективно.</w:t>
      </w:r>
    </w:p>
    <w:p>
      <w:pPr>
        <w:keepNext/>
        <w:spacing w:before="36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Станкевич, Л. А. Интеллектуальные системы и технологии : учебник и практикум для бакалавриата и магистратуры / Л. А. Станкевич. — Москва : Издательство Юрайт, 2018. — 397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Кудрявцев, В. Б. Интеллектуальные системы : учебник и практикум для вузов / В. Б. Кудрявцев, Э. Э. Гасанов, А. С. Подколзин. — 2-е изд., испр. и доп. — Москва : Издательство Юрайт, 2020. — 165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Рассел, С. Искусственный интеллект: современный подход / С. Рассел, П. Норвиг ; пер. с англ. — Москва : Издательский дом «Вильямс», 2021. — 704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4. </w:t>
      </w:r>
      <w:r>
        <w:rPr>
          <w:rFonts w:ascii="Times New Roman" w:hAnsi="Times New Roman"/>
          <w:sz w:val="28"/>
        </w:rPr>
        <w:t>Калан, Р. Основные концепции нейронных сетей / Р. Калан ; пер. с англ. — Москва : Издательский дом «Вильямс», 2018. — 287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5. </w:t>
      </w:r>
      <w:r>
        <w:rPr>
          <w:rFonts w:ascii="Times New Roman" w:hAnsi="Times New Roman"/>
          <w:sz w:val="28"/>
        </w:rPr>
        <w:t>Джексон, П. Введение в экспертные системы : учебное пособие / П. Джексон ; пер. с англ. и ред. В. Т. Тертышного. — Москва : Вильямс, 2021. — 622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6. </w:t>
      </w:r>
      <w:r>
        <w:rPr>
          <w:rFonts w:ascii="Times New Roman" w:hAnsi="Times New Roman"/>
          <w:sz w:val="28"/>
        </w:rPr>
        <w:t>Березина, В. А. Искусственный интеллект в профессиональной сфере : методические указания по выполнению практических работ / В. А. Березина. — Ставрополь : Изд-во СКФУ, 2023. — 34 с.</w:t>
      </w:r>
    </w:p>
    <w:p>
      <w:pPr>
        <w:spacing w:line="360" w:lineRule="auto" w:before="0" w:after="0"/>
        <w:ind w:firstLine="706"/>
        <w:jc w:val="both"/>
      </w:pPr>
      <w:r>
        <w:rPr>
          <w:rFonts w:ascii="Times New Roman" w:hAnsi="Times New Roman"/>
          <w:b/>
          <w:sz w:val="28"/>
        </w:rPr>
        <w:t xml:space="preserve">7. </w:t>
      </w:r>
      <w:r>
        <w:rPr>
          <w:rFonts w:ascii="Times New Roman" w:hAnsi="Times New Roman"/>
          <w:sz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2018. — 28 с.</w:t>
      </w:r>
    </w:p>
    <w:sectPr w:rsidR="00FC693F" w:rsidRPr="0006063C" w:rsidSect="00034616">
      <w:foot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