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6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«Модели нечеткого вывода»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основными понятиями нечеткой логики, алгоритмами нечетких систем и моделями нечеткого вывода (Мамдани, Цукамото, Сугено).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Нечеткий логический вывод.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Модель нечеткого вывода Мамдани.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Модель нечеткого вывода Цукамото.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Модель нечеткого вывода Сугено.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Механизм нечеткого вывода преобразует четкие значения входных переменных в четкое выходное значение через систему нечетких правил: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TD</w:t>
              <w:br/>
              <w:t xml:space="preserve">    In[Входные четкие переменные: X1, X2] --&gt; Step1[1. Фаззификация: вычисление степеней принадлежности mu]</w:t>
              <w:br/>
              <w:t xml:space="preserve">    Step1 --&gt; Step2[2. Агрегация подусловий правил: T-норма / Минимум]</w:t>
              <w:br/>
              <w:t xml:space="preserve">    Step2 --&gt; Step3[3. Активизация заключений: Импликация усечения/масштабирования]</w:t>
              <w:br/>
              <w:t xml:space="preserve">    Step3 --&gt; Step4[4. Аккумуляция заключений: T-конорма / Объединение Max]</w:t>
              <w:br/>
              <w:t xml:space="preserve">    Step4 --&gt; Step5[5. Дефазификация: расчет четкого выхода Y]</w:t>
              <w:br/>
              <w:t xml:space="preserve">    Step5 --&gt; Out[Выходное четкое управляющее воздействие: Y*]</w:t>
              <w:br/>
              <w:br/>
              <w:t xml:space="preserve">    classDef stage fill:#fce4ec,stroke:#c2185b,stroke-width:1px;</w:t>
              <w:br/>
              <w:t xml:space="preserve">    class Step1,Step2,Step3,Step4,Step5 stage;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Схема к практической работе № 6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Предметная область:</w:t>
      </w:r>
      <w:r>
        <w:rPr>
          <w:rFonts w:ascii="Times New Roman" w:hAnsi="Times New Roman"/>
          <w:sz w:val="28"/>
        </w:rPr>
        <w:t xml:space="preserve"> «Оценка вероятности блефа оппонента в карточной мультиплеерной игре (NecroGames / Bluff Roulette)».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Специфика Мамдани:</w:t>
      </w:r>
      <w:r>
        <w:rPr>
          <w:rFonts w:ascii="Times New Roman" w:hAnsi="Times New Roman"/>
          <w:sz w:val="28"/>
        </w:rPr>
        <w:t xml:space="preserve"> и антецеденты (условия), и консеквенты (заключения) формулируются в виде </w:t>
      </w:r>
      <w:r>
        <w:rPr>
          <w:rFonts w:ascii="Times New Roman" w:hAnsi="Times New Roman"/>
          <w:b/>
          <w:sz w:val="28"/>
        </w:rPr>
        <w:t>нечетких лингвистических множеств</w:t>
      </w:r>
      <w:r>
        <w:rPr>
          <w:rFonts w:ascii="Times New Roman" w:hAnsi="Times New Roman"/>
          <w:sz w:val="28"/>
        </w:rPr>
        <w:t>. Для композиции используется мин-максная схема, а дефазификация выполняется центроидным методом.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Входные переменные: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i/>
          <w:sz w:val="28"/>
        </w:rPr>
        <w:t>x_1</w:t>
      </w:r>
      <w:r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b/>
          <w:sz w:val="28"/>
        </w:rPr>
        <w:t>«Размер текущей ставки к банку»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0..100\%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Consolas" w:hAnsi="Consolas"/>
          <w:sz w:val="26"/>
        </w:rPr>
        <w:t>Малая (Small)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6"/>
        </w:rPr>
        <w:t>Средняя (Medium)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6"/>
        </w:rPr>
        <w:t>Огромная (Huge)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i/>
          <w:sz w:val="28"/>
        </w:rPr>
        <w:t>x_2</w:t>
      </w:r>
      <w:r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b/>
          <w:sz w:val="28"/>
        </w:rPr>
        <w:t>«Частота блефа игрока в прошлых раундах»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0..1.0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Consolas" w:hAnsi="Consolas"/>
          <w:sz w:val="26"/>
        </w:rPr>
        <w:t>Редкая (Rare)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6"/>
        </w:rPr>
        <w:t>Частая (Frequent)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Выходная переменная: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b/>
          <w:sz w:val="28"/>
        </w:rPr>
        <w:t>«Оценка вероятности блефа»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0..100\%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Consolas" w:hAnsi="Consolas"/>
          <w:sz w:val="26"/>
        </w:rPr>
        <w:t>Низкая (Low)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6"/>
        </w:rPr>
        <w:t>Средняя (Moderate)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6"/>
        </w:rPr>
        <w:t>Высокая (High)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База правил Мамдани: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Правило 1: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Ставка = Огромная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История = Частая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ВероятностьБлефа = Высокая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Правило 2: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Ставка = Малая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История = Редкая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ВероятностьБлефа = Низкая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Правило 3: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Ставка = Средняя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ВероятностьБлефа = Средняя</w:t>
      </w:r>
      <w:r>
        <w:rPr>
          <w:rFonts w:ascii="Times New Roman" w:hAnsi="Times New Roman"/>
          <w:sz w:val="2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Шаги вывода:</w:t>
              <w:br/>
              <w:t>1. Для ставки 85% и частоты 0.7 вычисляются mu_Huge(85%) = 0.8, mu_Freq(0.7) = 0.75.</w:t>
              <w:br/>
              <w:t>2. Агрегация: min(0.8, 0.75) = 0.75.</w:t>
              <w:br/>
              <w:t>3. Активизация: функция принадлежности "Высокая" усекается на уровне 0.75.</w:t>
              <w:br/>
              <w:t>4. Дефазификация: Центр тяжести дает четкий вывод: P_bluff = 78.4%.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2</w:t>
      </w:r>
      <w:r>
        <w:rPr>
          <w:rFonts w:ascii="Times New Roman" w:hAnsi="Times New Roman"/>
          <w:sz w:val="28"/>
        </w:rPr>
        <w:t xml:space="preserve"> — База правил Мамдани: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Предметная область:</w:t>
      </w:r>
      <w:r>
        <w:rPr>
          <w:rFonts w:ascii="Times New Roman" w:hAnsi="Times New Roman"/>
          <w:sz w:val="28"/>
        </w:rPr>
        <w:t xml:space="preserve"> «Динамическая адаптация тикрейта комнаты игрового сервера при пиковых нагрузках».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Специфика Цукамото:</w:t>
      </w:r>
      <w:r>
        <w:rPr>
          <w:rFonts w:ascii="Times New Roman" w:hAnsi="Times New Roman"/>
          <w:sz w:val="28"/>
        </w:rPr>
        <w:t xml:space="preserve"> функции принадлежности заключений правил должны быть </w:t>
      </w:r>
      <w:r>
        <w:rPr>
          <w:rFonts w:ascii="Times New Roman" w:hAnsi="Times New Roman"/>
          <w:b/>
          <w:sz w:val="28"/>
        </w:rPr>
        <w:t>строго монотонными</w:t>
      </w:r>
      <w:r>
        <w:rPr>
          <w:rFonts w:ascii="Times New Roman" w:hAnsi="Times New Roman"/>
          <w:sz w:val="28"/>
        </w:rPr>
        <w:t xml:space="preserve"> (возрастающими или убывающими). Дефазификация не требует численного интегрирования и вычисляется как взвешенное среднее четких прообразов: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i/>
          <w:sz w:val="28"/>
        </w:rPr>
        <w:t>Y^* = \frac∑_i=1^n w_i · z_i∑_i=1^n w_i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Входные переменные: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i/>
          <w:sz w:val="28"/>
        </w:rPr>
        <w:t>x_1</w:t>
      </w:r>
      <w:r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b/>
          <w:sz w:val="28"/>
        </w:rPr>
        <w:t>«Загрузка CPU сервера игровых комнат»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0..100\%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Consolas" w:hAnsi="Consolas"/>
          <w:sz w:val="26"/>
        </w:rPr>
        <w:t>Low (L)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6"/>
        </w:rPr>
        <w:t>High (H)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i/>
          <w:sz w:val="28"/>
        </w:rPr>
        <w:t>x_2</w:t>
      </w:r>
      <w:r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b/>
          <w:sz w:val="28"/>
        </w:rPr>
        <w:t>«Количество активных соединений»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0..2000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Consolas" w:hAnsi="Consolas"/>
          <w:sz w:val="26"/>
        </w:rPr>
        <w:t>Few (F)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6"/>
        </w:rPr>
        <w:t>Many (M)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Выходная переменная: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z</w:t>
      </w:r>
      <w:r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b/>
          <w:sz w:val="28"/>
        </w:rPr>
        <w:t>«Снижение частоты сетевого обновления (Tick Drop Hz)»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0..30 Гц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Монотонная функция принадлежности </w:t>
      </w:r>
      <w:r>
        <w:rPr>
          <w:rFonts w:ascii="Times New Roman" w:hAnsi="Times New Roman"/>
          <w:i/>
          <w:sz w:val="28"/>
        </w:rPr>
        <w:t>C_1</w:t>
      </w:r>
      <w:r>
        <w:rPr>
          <w:rFonts w:ascii="Times New Roman" w:hAnsi="Times New Roman"/>
          <w:sz w:val="28"/>
        </w:rPr>
        <w:t xml:space="preserve"> (Уменьшить сильно): </w:t>
      </w:r>
      <w:r>
        <w:rPr>
          <w:rFonts w:ascii="Times New Roman" w:hAnsi="Times New Roman"/>
          <w:i/>
          <w:sz w:val="28"/>
        </w:rPr>
        <w:t>μ(z) = \fracz30</w:t>
      </w:r>
      <w:r>
        <w:rPr>
          <w:rFonts w:ascii="Times New Roman" w:hAnsi="Times New Roman"/>
          <w:sz w:val="28"/>
        </w:rPr>
        <w:t xml:space="preserve"> (строго возрастающая).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Монотонная функция принадлежности </w:t>
      </w:r>
      <w:r>
        <w:rPr>
          <w:rFonts w:ascii="Times New Roman" w:hAnsi="Times New Roman"/>
          <w:i/>
          <w:sz w:val="28"/>
        </w:rPr>
        <w:t>C_2</w:t>
      </w:r>
      <w:r>
        <w:rPr>
          <w:rFonts w:ascii="Times New Roman" w:hAnsi="Times New Roman"/>
          <w:sz w:val="28"/>
        </w:rPr>
        <w:t xml:space="preserve"> (Не уменьшать): </w:t>
      </w:r>
      <w:r>
        <w:rPr>
          <w:rFonts w:ascii="Times New Roman" w:hAnsi="Times New Roman"/>
          <w:i/>
          <w:sz w:val="28"/>
        </w:rPr>
        <w:t>μ(z) = 1 - \fracz30</w:t>
      </w:r>
      <w:r>
        <w:rPr>
          <w:rFonts w:ascii="Times New Roman" w:hAnsi="Times New Roman"/>
          <w:sz w:val="28"/>
        </w:rPr>
        <w:t xml:space="preserve"> (строго убывающая).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Правила вывода: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П1: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CPU = High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Соединений = Many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Tick Drop = Большой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μ = z / 30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Степень истинности: </w:t>
      </w:r>
      <w:r>
        <w:rPr>
          <w:rFonts w:ascii="Times New Roman" w:hAnsi="Times New Roman"/>
          <w:i/>
          <w:sz w:val="28"/>
        </w:rPr>
        <w:t>w_1 = \min(μ_H, μ_M) = 0.8  ⟹  z_1 = 30 × 0.8 = 24 Гц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П2: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CPU = Low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Соединений = Few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Consolas" w:hAnsi="Consolas"/>
          <w:sz w:val="26"/>
        </w:rPr>
        <w:t>Tick Drop = Нулевой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μ = 1 - z / 30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Степень истинности: </w:t>
      </w:r>
      <w:r>
        <w:rPr>
          <w:rFonts w:ascii="Times New Roman" w:hAnsi="Times New Roman"/>
          <w:i/>
          <w:sz w:val="28"/>
        </w:rPr>
        <w:t>w_2 = \min(μ_L, μ_F) = 0.2  ⟹  z_2 = 30 × (1 - 0.2) = 24  ⟹  z_2 = 6 Гц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Результат дефазификации Цукамото: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i/>
          <w:sz w:val="28"/>
        </w:rPr>
        <w:t>Y^* = \frac0.8 × 24 + 0.2 × 60.8 + 0.2 = \frac19.2 + 1.21.0 = 20.4 Гц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Предметная область:</w:t>
      </w:r>
      <w:r>
        <w:rPr>
          <w:rFonts w:ascii="Times New Roman" w:hAnsi="Times New Roman"/>
          <w:sz w:val="28"/>
        </w:rPr>
        <w:t xml:space="preserve"> «Предиктивная интерполяция координат мыши/прицела в веб-клиенте для устранения визуального джиттера».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Специфика Сугено:</w:t>
      </w:r>
      <w:r>
        <w:rPr>
          <w:rFonts w:ascii="Times New Roman" w:hAnsi="Times New Roman"/>
          <w:sz w:val="28"/>
        </w:rPr>
        <w:t xml:space="preserve"> в заключении каждого правила вместо нечеткого множества используется </w:t>
      </w:r>
      <w:r>
        <w:rPr>
          <w:rFonts w:ascii="Times New Roman" w:hAnsi="Times New Roman"/>
          <w:b/>
          <w:sz w:val="28"/>
        </w:rPr>
        <w:t>явная математическая функция</w:t>
      </w:r>
      <w:r>
        <w:rPr>
          <w:rFonts w:ascii="Times New Roman" w:hAnsi="Times New Roman"/>
          <w:sz w:val="28"/>
        </w:rPr>
        <w:t xml:space="preserve"> от входных переменных: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i/>
          <w:sz w:val="28"/>
        </w:rPr>
        <w:t>ЕСЛИ  x_1 ∈ A_i  И  x_2 ∈ B_i \longrightarrow z_i = p_i x_1 + q_i x_2 + r_i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Входные переменные: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x_1</w:t>
      </w:r>
      <w:r>
        <w:rPr>
          <w:rFonts w:ascii="Times New Roman" w:hAnsi="Times New Roman"/>
          <w:sz w:val="28"/>
        </w:rPr>
        <w:t xml:space="preserve"> — текущая скорость движения курсора (</w:t>
      </w:r>
      <w:r>
        <w:rPr>
          <w:rFonts w:ascii="Times New Roman" w:hAnsi="Times New Roman"/>
          <w:i/>
          <w:sz w:val="28"/>
        </w:rPr>
        <w:t>px/ms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x_2</w:t>
      </w:r>
      <w:r>
        <w:rPr>
          <w:rFonts w:ascii="Times New Roman" w:hAnsi="Times New Roman"/>
          <w:sz w:val="28"/>
        </w:rPr>
        <w:t xml:space="preserve"> — текущее сетевое запаздывание (Latency, </w:t>
      </w:r>
      <w:r>
        <w:rPr>
          <w:rFonts w:ascii="Times New Roman" w:hAnsi="Times New Roman"/>
          <w:i/>
          <w:sz w:val="28"/>
        </w:rPr>
        <w:t>ms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Выходная переменная: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z</w:t>
      </w:r>
      <w:r>
        <w:rPr>
          <w:rFonts w:ascii="Times New Roman" w:hAnsi="Times New Roman"/>
          <w:sz w:val="28"/>
        </w:rPr>
        <w:t xml:space="preserve"> — упреждающее смещение позиции интерполяции (</w:t>
      </w:r>
      <w:r>
        <w:rPr>
          <w:rFonts w:ascii="Times New Roman" w:hAnsi="Times New Roman"/>
          <w:i/>
          <w:sz w:val="28"/>
        </w:rPr>
        <w:t>Δ px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База правил Сугено 1-го порядка: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R1: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Скорость = Низкая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Лаг = Малый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Times New Roman" w:hAnsi="Times New Roman"/>
          <w:i/>
          <w:sz w:val="28"/>
        </w:rPr>
        <w:t>z_1 = 1.0 · x_1 + 0.05 · x_2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R2:</w:t>
      </w:r>
      <w:r>
        <w:rPr>
          <w:rFonts w:ascii="Times New Roman" w:hAnsi="Times New Roman"/>
          <w:sz w:val="28"/>
        </w:rPr>
        <w:t xml:space="preserve"> ЕСЛИ </w:t>
      </w:r>
      <w:r>
        <w:rPr>
          <w:rFonts w:ascii="Consolas" w:hAnsi="Consolas"/>
          <w:sz w:val="26"/>
        </w:rPr>
        <w:t>Скорость = Высокая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6"/>
        </w:rPr>
        <w:t>Лаг = Высокий</w:t>
      </w:r>
      <w:r>
        <w:rPr>
          <w:rFonts w:ascii="Times New Roman" w:hAnsi="Times New Roman"/>
          <w:sz w:val="28"/>
        </w:rPr>
        <w:t xml:space="preserve"> ТО </w:t>
      </w:r>
      <w:r>
        <w:rPr>
          <w:rFonts w:ascii="Times New Roman" w:hAnsi="Times New Roman"/>
          <w:i/>
          <w:sz w:val="28"/>
        </w:rPr>
        <w:t>z_2 = 2.4 · x_1 + 0.35 · x_2 + 5.0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Дефазификация: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i/>
          <w:sz w:val="28"/>
        </w:rPr>
        <w:t>Y^* = \fracw_1 · z_1 + w_2 · z_2w_1 + w_2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Модель Сугено выполняется на порядки быстрее Мамдани, так как не требует численного поиска центра тяжести сплошных геометрических фигур, что делает её идеальной для движков на JavaScript/WebAssembly.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Дефазификация: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Модель нечеткого вывода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Достоинства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Рекомендуемая сфера применения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Модель Мамдани (Mamdani)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Интуитивно понятна человеку-эксперту.</w:t>
              <w:br/>
              <w:t>• Консеквенты выражены на естественном языке (лингвистические термы).</w:t>
              <w:br/>
              <w:t>• Высокая выразительная способность.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Высокая вычислительная сложность дефазификации (численное интегрирование).</w:t>
              <w:br/>
              <w:t>• Трудность математической оптимизации градиентными методами.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Системы поддержки принятия врачебных, управленческих и геймдизайнерских решений, где критична объяснимость.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Модель Сугено (Takagi-Sugeno)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Экстремально высокое быстродействие.</w:t>
              <w:br/>
              <w:t>• Легкая интеграция с методами оптимизации и нейросетями (ANFIS).</w:t>
              <w:br/>
              <w:t>• Гарантированная гладкость управляющей поверхности.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Теряется естественность восприятия: консеквенты задаются коэффициентами уравнений, а не качественными словами.</w:t>
              <w:br/>
              <w:t>• Сложнее проектировать вручную.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Встраиваемые системы, управление сетевым трафиком, реалтайм-клиенты веб-игр, робототехника.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Модель Цукамото (Tsukamoto)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Простой и прозрачный аналитический расчет дефазификации.</w:t>
              <w:br/>
              <w:t>• Вычислительно быстрее Мамдани.</w:t>
              <w:br/>
              <w:t>• Сохраняет нечеткую природу заключений.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Ограничение: функции принадлежности консеквентов строго монотонны.</w:t>
              <w:br/>
              <w:t>• Не позволяет моделировать сложные колоколообразные пики в заключениях.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Системы адаптивной настройки параметров с монотонной реакцией (регулировка яркости, тикрейта).</w:t>
            </w:r>
          </w:p>
        </w:tc>
      </w:tr>
    </w:tbl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Проект:</w:t>
      </w:r>
      <w:r>
        <w:rPr>
          <w:rFonts w:ascii="Times New Roman" w:hAnsi="Times New Roman"/>
          <w:sz w:val="28"/>
        </w:rPr>
        <w:t xml:space="preserve"> «Сравнительное внедрение моделей Мамдани и Сугено в модуль подбора комнат и античита браузерной игры».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Исполнитель всех ролей: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Мухамеджанов Эльёр Тимурович</w:t>
      </w:r>
      <w:r>
        <w:rPr>
          <w:rFonts w:ascii="Times New Roman" w:hAnsi="Times New Roman"/>
          <w:sz w:val="2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[Эксперт по архитектуре игровых систем: Мухамеджанов Э. Т.]</w:t>
              <w:br/>
              <w:t xml:space="preserve">   |-- Ставит задачу: модуль не должен тратить более 0.5 мс CPU на сессию</w:t>
              <w:br/>
              <w:t xml:space="preserve">   v</w:t>
              <w:br/>
              <w:t>[Инженер по знаниям: Мухамеджанов Э. Т.]</w:t>
              <w:br/>
              <w:t xml:space="preserve">   |-- Формулирует базу правил и подбирает веса линейных уравнений для модели Сугено</w:t>
              <w:br/>
              <w:t xml:space="preserve">   v</w:t>
              <w:br/>
              <w:t>[Разработчик ИИ / Веб-инженер: Мухамеджанов Э. Т.]</w:t>
              <w:br/>
              <w:t xml:space="preserve">   |-- Пишет бенчмарк на Node.js v20:</w:t>
              <w:br/>
              <w:t xml:space="preserve">   |   * Мамдани (COG): 12 000 операций/сек</w:t>
              <w:br/>
              <w:t xml:space="preserve">   |   * Сугено (0-го порядка): 480 000 операций/сек (прирост скорости в 40 раз!)</w:t>
              <w:br/>
              <w:t xml:space="preserve">   v</w:t>
              <w:br/>
              <w:t>[QA-инженер: Мухамеджанов Э. Т.]</w:t>
              <w:br/>
              <w:t xml:space="preserve">   |-- Валидирует отсутствие деградации точности решений при переходе на модель Сугено.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3</w:t>
      </w:r>
      <w:r>
        <w:rPr>
          <w:rFonts w:ascii="Times New Roman" w:hAnsi="Times New Roman"/>
          <w:sz w:val="28"/>
        </w:rPr>
        <w:t xml:space="preserve"> — Дефазификация: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6 детально изучены и математически сопоставлены три классические модели нечеткого вывода: Мамдани, Цукамото и Сугено. Выявлено ключевое проектное разделение: модель Мамдани обеспечивает максимальную прозрачность рассуждений, тогда как полиномиальная модель Сугено обладает подавляющим преимуществом по быстродействию и наилучшим образом подходит для серверных веб-приложений реального времени.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