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F88" w:rsidRPr="006F4F88" w:rsidRDefault="005D37F0" w:rsidP="006F4F88">
      <w:pPr>
        <w:pStyle w:val="titleu"/>
        <w:spacing w:before="0" w:after="0"/>
        <w:divId w:val="367606159"/>
        <w:rPr>
          <w:sz w:val="28"/>
          <w:lang w:val="ru-RU"/>
        </w:rPr>
      </w:pPr>
      <w:bookmarkStart w:id="0" w:name="a1"/>
      <w:bookmarkStart w:id="1" w:name="a2"/>
      <w:bookmarkEnd w:id="0"/>
      <w:bookmarkEnd w:id="1"/>
      <w:r w:rsidRPr="00102286">
        <w:rPr>
          <w:sz w:val="28"/>
          <w:lang w:val="ru-RU"/>
        </w:rPr>
        <w:t>ПРАВИЛА</w:t>
      </w:r>
      <w:r w:rsidR="00D16F79" w:rsidRPr="00102286">
        <w:rPr>
          <w:sz w:val="28"/>
          <w:lang w:val="ru-RU"/>
        </w:rPr>
        <w:t xml:space="preserve"> </w:t>
      </w:r>
      <w:r w:rsidRPr="00102286">
        <w:rPr>
          <w:sz w:val="28"/>
          <w:lang w:val="ru-RU"/>
        </w:rPr>
        <w:t>эксплуатации гидротехнических сооружений и устройств для энергетических нужд</w:t>
      </w:r>
      <w:bookmarkStart w:id="2" w:name="a7"/>
      <w:bookmarkEnd w:id="2"/>
    </w:p>
    <w:p w:rsidR="00667D83" w:rsidRDefault="005D37F0" w:rsidP="00FF0AB7">
      <w:pPr>
        <w:pStyle w:val="chapter"/>
        <w:spacing w:before="0" w:after="0"/>
        <w:divId w:val="367606159"/>
        <w:rPr>
          <w:lang w:val="ru-RU"/>
        </w:rPr>
      </w:pPr>
      <w:bookmarkStart w:id="3" w:name="a8"/>
      <w:bookmarkEnd w:id="3"/>
      <w:r w:rsidRPr="00FF0AB7">
        <w:rPr>
          <w:lang w:val="ru-RU"/>
        </w:rPr>
        <w:t>ГЛАВА 1</w:t>
      </w:r>
      <w:r w:rsidRPr="00FF0AB7">
        <w:rPr>
          <w:lang w:val="ru-RU"/>
        </w:rPr>
        <w:br/>
        <w:t>ОСНОВНЫЕ ПОЛОЖЕНИЯ</w:t>
      </w:r>
    </w:p>
    <w:p w:rsidR="006F4F88" w:rsidRPr="00FF0AB7" w:rsidRDefault="006F4F88" w:rsidP="00FF0AB7">
      <w:pPr>
        <w:pStyle w:val="chapter"/>
        <w:spacing w:before="0" w:after="0"/>
        <w:divId w:val="367606159"/>
        <w:rPr>
          <w:lang w:val="ru-RU"/>
        </w:rPr>
      </w:pP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1. Настоящие Правила определяют порядок эксплуатации гидротехнических сооружений и устройств (далее – ГТС) для энергетических (гидроэнергетических и теплоэнергетических) нужд и распространяются на ГТС гидроэлектростанций и объектов теплоэнергетики.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Настоящие Правила не распространяются на гидроаккумулирующие станции, портовые, судоходные ГТС, сооружения судостроительных и судоремонтных предприятий, а также сооружения судоходной обстановки, сооружения для защиты от наводнений, временные сооружения, мелиоративные системы.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 xml:space="preserve">2. Для целей настоящих Правил применяются термины и их определения в значениях, установленных Водным </w:t>
      </w:r>
      <w:r w:rsidRPr="00767483">
        <w:rPr>
          <w:lang w:val="ru-RU"/>
        </w:rPr>
        <w:t>кодексом</w:t>
      </w:r>
      <w:r w:rsidRPr="00FF0AB7">
        <w:rPr>
          <w:lang w:val="ru-RU"/>
        </w:rPr>
        <w:t xml:space="preserve"> Республики Беларусь, а также следующие термины и их определения: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4" w:name="a35"/>
      <w:bookmarkEnd w:id="4"/>
      <w:r w:rsidRPr="00FF0AB7">
        <w:rPr>
          <w:lang w:val="ru-RU"/>
        </w:rPr>
        <w:t>верхний бьеф – часть водоема, водотока с верховой (по течению) стороны водоподпорного сооружения;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5" w:name="a6"/>
      <w:bookmarkEnd w:id="5"/>
      <w:r w:rsidRPr="00FF0AB7">
        <w:rPr>
          <w:lang w:val="ru-RU"/>
        </w:rPr>
        <w:t>гидроузел – группа ГТС, объединенная общим местом расположения и условиями их совместной работы;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6" w:name="a36"/>
      <w:bookmarkEnd w:id="6"/>
      <w:r w:rsidRPr="00FF0AB7">
        <w:rPr>
          <w:lang w:val="ru-RU"/>
        </w:rPr>
        <w:t>нижний бьеф – часть водоема, реки, канала с низовой (по течению) стороны водоподпорного сооружения;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7" w:name="a37"/>
      <w:bookmarkEnd w:id="7"/>
      <w:r w:rsidRPr="00FF0AB7">
        <w:rPr>
          <w:lang w:val="ru-RU"/>
        </w:rPr>
        <w:t>паводок – фаза гидрологического режима водотока, многократно повторяющаяся в различные сезоны года, характеризуемая кратковременным увеличением расходов воды в результате ливней или интенсивного таяния снега;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8" w:name="a38"/>
      <w:bookmarkEnd w:id="8"/>
      <w:r w:rsidRPr="00FF0AB7">
        <w:rPr>
          <w:lang w:val="ru-RU"/>
        </w:rPr>
        <w:t>половодье – фаза гидрологического режима водотока, ежегодно повторяющаяся в один и тот же сезон, характеризуемая наибольшей водностью, высоким и длительным подъемом уровня воды и вызываемая снеготаянием;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9" w:name="a39"/>
      <w:bookmarkEnd w:id="9"/>
      <w:proofErr w:type="spellStart"/>
      <w:r w:rsidRPr="00FF0AB7">
        <w:rPr>
          <w:lang w:val="ru-RU"/>
        </w:rPr>
        <w:t>сверхрасчетные</w:t>
      </w:r>
      <w:proofErr w:type="spellEnd"/>
      <w:r w:rsidRPr="00FF0AB7">
        <w:rPr>
          <w:lang w:val="ru-RU"/>
        </w:rPr>
        <w:t xml:space="preserve"> половодья, паводки – фазы гидрологического режима, при которых превышается основное и поверочное сочетания нагрузок гидроузла, а пропуск максимального расхода воды может сопровождаться повреждениями ГТС выше допустимых;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эксплуатирующая организация – собственник ГТС или уполномоченное им лицо.</w:t>
      </w:r>
    </w:p>
    <w:p w:rsidR="00667D83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3. Эксплуатация ГТС гидроэлектростанций и объектов теплоэнергетики осуществляется на основании проектной документации, утвержденной в установленном порядке, и в соответствии с инструкцией по их эксплуатации, разработанной и утвержденной собственником ГТС или уполномоченным им лицом.</w:t>
      </w:r>
    </w:p>
    <w:p w:rsidR="006F4F88" w:rsidRPr="00FF0AB7" w:rsidRDefault="006F4F88" w:rsidP="00FF0AB7">
      <w:pPr>
        <w:pStyle w:val="point"/>
        <w:spacing w:before="0" w:after="0"/>
        <w:divId w:val="367606159"/>
        <w:rPr>
          <w:lang w:val="ru-RU"/>
        </w:rPr>
      </w:pPr>
    </w:p>
    <w:p w:rsidR="00667D83" w:rsidRDefault="005D37F0" w:rsidP="00FF0AB7">
      <w:pPr>
        <w:pStyle w:val="chapter"/>
        <w:spacing w:before="0" w:after="0"/>
        <w:divId w:val="367606159"/>
        <w:rPr>
          <w:lang w:val="ru-RU"/>
        </w:rPr>
      </w:pPr>
      <w:bookmarkStart w:id="10" w:name="a9"/>
      <w:bookmarkEnd w:id="10"/>
      <w:r w:rsidRPr="00FF0AB7">
        <w:rPr>
          <w:lang w:val="ru-RU"/>
        </w:rPr>
        <w:t>ГЛАВА 2</w:t>
      </w:r>
      <w:r w:rsidRPr="00FF0AB7">
        <w:rPr>
          <w:lang w:val="ru-RU"/>
        </w:rPr>
        <w:br/>
        <w:t>СОСТАВ И КОНСТРУКЦИЯ ГТС</w:t>
      </w:r>
    </w:p>
    <w:p w:rsidR="006F4F88" w:rsidRPr="00FF0AB7" w:rsidRDefault="006F4F88" w:rsidP="00FF0AB7">
      <w:pPr>
        <w:pStyle w:val="chapter"/>
        <w:spacing w:before="0" w:after="0"/>
        <w:divId w:val="367606159"/>
        <w:rPr>
          <w:lang w:val="ru-RU"/>
        </w:rPr>
      </w:pP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4. К ГТС гидроэлектростанций относятся здания гидроэлектростанций, подводящие каналы, отводящие каналы, сооружения водосбросного тракта (понур, водосливная плотина, водобой, рисберма с ковшом), земляные плотины, береговые устои, раздельные стенки гидроэлектростанций.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 xml:space="preserve">5. К ГТС объектов теплоэнергетики относятся водозаборы, насосные станции (циркуляционные, водоснабжения, канализации, </w:t>
      </w:r>
      <w:proofErr w:type="spellStart"/>
      <w:r w:rsidRPr="00FF0AB7">
        <w:rPr>
          <w:lang w:val="ru-RU"/>
        </w:rPr>
        <w:t>шламоудаления</w:t>
      </w:r>
      <w:proofErr w:type="spellEnd"/>
      <w:r w:rsidRPr="00FF0AB7">
        <w:rPr>
          <w:lang w:val="ru-RU"/>
        </w:rPr>
        <w:t xml:space="preserve">, осветленной воды), охладители (водоемы-охладители, башенные, вентиляторные испарительные и сухие градирни), открытые и закрытые каналы технического водоснабжения (далее – </w:t>
      </w:r>
      <w:proofErr w:type="spellStart"/>
      <w:r w:rsidRPr="00FF0AB7">
        <w:rPr>
          <w:lang w:val="ru-RU"/>
        </w:rPr>
        <w:t>техводоснабжение</w:t>
      </w:r>
      <w:proofErr w:type="spellEnd"/>
      <w:r w:rsidRPr="00FF0AB7">
        <w:rPr>
          <w:lang w:val="ru-RU"/>
        </w:rPr>
        <w:t xml:space="preserve">), резервуары для воды и сточных вод, </w:t>
      </w:r>
      <w:proofErr w:type="spellStart"/>
      <w:r w:rsidRPr="00FF0AB7">
        <w:rPr>
          <w:lang w:val="ru-RU"/>
        </w:rPr>
        <w:t>золо</w:t>
      </w:r>
      <w:proofErr w:type="spellEnd"/>
      <w:r w:rsidRPr="00FF0AB7">
        <w:rPr>
          <w:lang w:val="ru-RU"/>
        </w:rPr>
        <w:t>- и </w:t>
      </w:r>
      <w:proofErr w:type="spellStart"/>
      <w:r w:rsidRPr="00FF0AB7">
        <w:rPr>
          <w:lang w:val="ru-RU"/>
        </w:rPr>
        <w:t>шламоотвалы</w:t>
      </w:r>
      <w:proofErr w:type="spellEnd"/>
      <w:r w:rsidRPr="00FF0AB7">
        <w:rPr>
          <w:lang w:val="ru-RU"/>
        </w:rPr>
        <w:t xml:space="preserve">, трубопроводы условным проходом не менее 500 мм и длиной </w:t>
      </w:r>
      <w:r w:rsidRPr="00FF0AB7">
        <w:rPr>
          <w:lang w:val="ru-RU"/>
        </w:rPr>
        <w:lastRenderedPageBreak/>
        <w:t xml:space="preserve">не менее 50 м (водоводы </w:t>
      </w:r>
      <w:proofErr w:type="spellStart"/>
      <w:r w:rsidRPr="00FF0AB7">
        <w:rPr>
          <w:lang w:val="ru-RU"/>
        </w:rPr>
        <w:t>техводоснабжения</w:t>
      </w:r>
      <w:proofErr w:type="spellEnd"/>
      <w:r w:rsidRPr="00FF0AB7">
        <w:rPr>
          <w:lang w:val="ru-RU"/>
        </w:rPr>
        <w:t>, канализационные коллекторы), циркуляционные водоводы.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6. Конструкция ГТС определяется проектной документацией на возведение, реконструкцию, реставрацию, капитальный ремонт, благоустройство объекта, снос (далее – проектная документация), утвержденной в установленном порядке.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7. Гидроэлектростанции включают основное оборудование и вспомогательное оборудование.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8. В состав основного оборудования гидроэлектростанции (далее – основное оборудование) входят: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11" w:name="a40"/>
      <w:bookmarkEnd w:id="11"/>
      <w:r w:rsidRPr="00FF0AB7">
        <w:rPr>
          <w:lang w:val="ru-RU"/>
        </w:rPr>
        <w:t>гидросиловое оборудование – гидротурбина и гидрогенератор с мультипликатором или без него, направляющим аппаратом и вспомогательными системами, турбинными водоводами;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bookmarkStart w:id="12" w:name="a41"/>
      <w:bookmarkEnd w:id="12"/>
      <w:r w:rsidRPr="00FF0AB7">
        <w:rPr>
          <w:lang w:val="ru-RU"/>
        </w:rPr>
        <w:t>гидромеханическое оборудование – совокупность конструкций и механизмов для управления потоками воды, сброса сора и льда, предотвращения попадания рыбы в водоприемник, предназначенных для обеспечения бесперебойного действия ГТС.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 xml:space="preserve">9. К вспомогательным системам гидроэлектростанции относятся системы </w:t>
      </w:r>
      <w:proofErr w:type="spellStart"/>
      <w:r w:rsidRPr="00FF0AB7">
        <w:rPr>
          <w:lang w:val="ru-RU"/>
        </w:rPr>
        <w:t>техводоснабжения</w:t>
      </w:r>
      <w:proofErr w:type="spellEnd"/>
      <w:r w:rsidRPr="00FF0AB7">
        <w:rPr>
          <w:lang w:val="ru-RU"/>
        </w:rPr>
        <w:t xml:space="preserve">, осушения проточной части гидроагрегатов и дренажа, маслохозяйства, </w:t>
      </w:r>
      <w:proofErr w:type="spellStart"/>
      <w:r w:rsidRPr="00FF0AB7">
        <w:rPr>
          <w:lang w:val="ru-RU"/>
        </w:rPr>
        <w:t>пневмохозяйства</w:t>
      </w:r>
      <w:proofErr w:type="spellEnd"/>
      <w:r w:rsidRPr="00FF0AB7">
        <w:rPr>
          <w:lang w:val="ru-RU"/>
        </w:rPr>
        <w:t>, измерения гидравлических параметров гидроузла, пожаротушения с установками пожарной автоматики.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10. К вспомогательному оборудованию гидроэлектростанции (далее – вспомогательное оборудование) относится оборудование систем водопровода, канализации, отопления, вентиляции зданий и сооружений и другое оборудование, предназначенное для обеспечения эксплуатации ГТС.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 xml:space="preserve">11. К вспомогательным системам гидроагрегата относятся система автоматического управления, маслонапорная установка, </w:t>
      </w:r>
      <w:proofErr w:type="spellStart"/>
      <w:r w:rsidRPr="00FF0AB7">
        <w:rPr>
          <w:lang w:val="ru-RU"/>
        </w:rPr>
        <w:t>противоразгонное</w:t>
      </w:r>
      <w:proofErr w:type="spellEnd"/>
      <w:r w:rsidRPr="00FF0AB7">
        <w:rPr>
          <w:lang w:val="ru-RU"/>
        </w:rPr>
        <w:t xml:space="preserve"> устройство, регулирующее устройство.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12. Системы охлаждения оборудования обеспечивают бесперебойную подачу теплоносителя нормативной температуры в необходимом количестве требуемого качества.</w:t>
      </w:r>
    </w:p>
    <w:p w:rsidR="00667D83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13. Поверхностный водозабор используется для обеспечения производственных нужд, а также для увлажнения и рыбоводства в зависимости от назначения водотока, водоема.</w:t>
      </w:r>
    </w:p>
    <w:p w:rsidR="006F4F88" w:rsidRPr="00FF0AB7" w:rsidRDefault="006F4F88" w:rsidP="00FF0AB7">
      <w:pPr>
        <w:pStyle w:val="point"/>
        <w:spacing w:before="0" w:after="0"/>
        <w:divId w:val="367606159"/>
        <w:rPr>
          <w:lang w:val="ru-RU"/>
        </w:rPr>
      </w:pPr>
    </w:p>
    <w:p w:rsidR="00667D83" w:rsidRDefault="005D37F0" w:rsidP="00FF0AB7">
      <w:pPr>
        <w:pStyle w:val="chapter"/>
        <w:spacing w:before="0" w:after="0"/>
        <w:divId w:val="367606159"/>
        <w:rPr>
          <w:lang w:val="ru-RU"/>
        </w:rPr>
      </w:pPr>
      <w:bookmarkStart w:id="13" w:name="a10"/>
      <w:bookmarkEnd w:id="13"/>
      <w:r w:rsidRPr="00FF0AB7">
        <w:rPr>
          <w:lang w:val="ru-RU"/>
        </w:rPr>
        <w:t>ГЛАВА 3</w:t>
      </w:r>
      <w:r w:rsidRPr="00FF0AB7">
        <w:rPr>
          <w:lang w:val="ru-RU"/>
        </w:rPr>
        <w:br/>
        <w:t>ЭКСПЛУАТАЦИЯ ГТС</w:t>
      </w:r>
    </w:p>
    <w:p w:rsidR="006F4F88" w:rsidRPr="00FF0AB7" w:rsidRDefault="006F4F88" w:rsidP="00FF0AB7">
      <w:pPr>
        <w:pStyle w:val="chapter"/>
        <w:spacing w:before="0" w:after="0"/>
        <w:divId w:val="367606159"/>
        <w:rPr>
          <w:lang w:val="ru-RU"/>
        </w:rPr>
      </w:pP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14. Нормальная эксплуатация оборудования ГТС предусматривает пуск, обслуживание под нагрузкой и останов в соответствии с инструкцией изготовителя и инструкцией по эксплуатации.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15. Эксплуатация оборудования ГТС осуществляется с учетом следующих ограничений мощности, производительности ГТС: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эксплуатационные, возникшие вследствие неисправностей и отказов в работе оборудования, некачественного ремонта, недостатков эксплуатации;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технические, обусловленные конструктивными, технологическими особенностями и дефектами основного и вспомогательного оборудования; несоответствием отдельных агрегатов по производительности и мощности; ухудшением не зависящих от работников условий эксплуатации;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гидрологические режимные, в том числе временные и сезонные (маловодность, ухудшение ледовой обстановки, попуски, снижение напора гидроэлектростанций во время паводков за счет повышения уровня нижнего бьефа и другие ограничения);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электрические, связанные с работой по условиям покрытия графика электрических нагрузок, недостаточной пропускной способностью линий электропередачи;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снижение уровня верхнего бьефа, повышение уровня нижнего бьефа по требованию государственных органов.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lastRenderedPageBreak/>
        <w:t>16. При эксплуатации гидроэлектростанций составляются диспетчерские графики водохранилища, пруда гидроэлектростанции, планы использования водных ресурсов, систем охлаждения.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17. Диспетчерский график водохранилища, пруда гидроэлектростанции составляется при использовании полезного объема воды для регулирования половодья, паводка и возможного суточного регулирования.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18. Диспетчерский график водохранилища-охладителя, пруда-охладителя составляется в случае использования полезного объема воды для регулирования половодья, паводка и при диспетчерском водохозяйственном регулировании.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19. Эксплуатация гидроэлектростанций каскада осуществляется одной либо разными эксплуатирующими организациями.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20. Если эксплуатация гидроэлектростанций каскада осуществляется разными эксплуатирующими организациями, то управление каскадом гидроэлектростанций осуществляется одной водохозяйственной диспетчерской службой.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Эксплуатация каскада гидроэлектростанций одной эксплуатирующей организацией может осуществляться на основании единой инструкции по эксплуатации гидроэлектростанций всего каскада с указанием особенностей эксплуатации каждой гидроэлектростанции.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21. Управление каскадом гидроэлектростанций осуществляется с верхней гидроэлектростанции каскада. Щит управления каскадом гидроэлектростанций постоянно находится под контролем дежурного оператора.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22. При планировании эксплуатации ГТС составляются планы использования водных ресурсов и систем охлаждения на год, на месяц.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23. План использования водных ресурсов на год, на месяц основывается на среднемноголетних данных.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24. Планирование использования водных ресурсов основывается на: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текущей гидрологической обстановке и прогнозах;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состоянии ГТС и основного оборудования;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указаниях диспетчерской службы;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 xml:space="preserve">указаниях водохозяйственной диспетчерской службы каскада гидроэлектростанций при </w:t>
      </w:r>
      <w:proofErr w:type="spellStart"/>
      <w:r w:rsidRPr="00FF0AB7">
        <w:rPr>
          <w:lang w:val="ru-RU"/>
        </w:rPr>
        <w:t>сверхрасчетных</w:t>
      </w:r>
      <w:proofErr w:type="spellEnd"/>
      <w:r w:rsidRPr="00FF0AB7">
        <w:rPr>
          <w:lang w:val="ru-RU"/>
        </w:rPr>
        <w:t xml:space="preserve"> половодьях, паводках, маловодных летне-осенних и зимних периодах (низкой межени);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требованиях (предписаниях) государственных органов и должностных лиц, осуществляющих контроль за использованием и охраной вод (далее – требования государственных органов);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обращениях других водопользователей.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25. План использования системы охлаждения на год, месяц основывается на планируемых электрических и тепловых нагрузках, среднемноголетних климатических параметрах.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26. Планирование системы охлаждения основывается на: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планируемых электрических и тепловых нагрузках;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 xml:space="preserve">состоянии систем охлаждения, </w:t>
      </w:r>
      <w:proofErr w:type="spellStart"/>
      <w:r w:rsidRPr="00FF0AB7">
        <w:rPr>
          <w:lang w:val="ru-RU"/>
        </w:rPr>
        <w:t>техводоснабжения</w:t>
      </w:r>
      <w:proofErr w:type="spellEnd"/>
      <w:r w:rsidRPr="00FF0AB7">
        <w:rPr>
          <w:lang w:val="ru-RU"/>
        </w:rPr>
        <w:t xml:space="preserve"> и оборудования;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текущей гидрометеорологической обстановке и прогнозах;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указаниях диспетчерской службы;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требованиях государственных органов.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27. При наличии в составе гидроузла ГТС эксплуатирующие организации обмениваются информацией о режиме бьефов, состоянии сооружений, планируемых мероприятиях.</w:t>
      </w:r>
    </w:p>
    <w:p w:rsidR="00667D83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28. Эксплуатирующие организации обеспечивают на ГТС соблюдение требований пожарной безопасности, содержащихся в нормативных правовых актах, обязательных для соблюдения технических нормативных правовых актах.</w:t>
      </w:r>
    </w:p>
    <w:p w:rsidR="006F4F88" w:rsidRPr="00FF0AB7" w:rsidRDefault="006F4F88" w:rsidP="00FF0AB7">
      <w:pPr>
        <w:pStyle w:val="point"/>
        <w:spacing w:before="0" w:after="0"/>
        <w:divId w:val="367606159"/>
        <w:rPr>
          <w:lang w:val="ru-RU"/>
        </w:rPr>
      </w:pPr>
    </w:p>
    <w:p w:rsidR="00667D83" w:rsidRDefault="005D37F0" w:rsidP="00FF0AB7">
      <w:pPr>
        <w:pStyle w:val="chapter"/>
        <w:spacing w:before="0" w:after="0"/>
        <w:divId w:val="367606159"/>
        <w:rPr>
          <w:lang w:val="ru-RU"/>
        </w:rPr>
      </w:pPr>
      <w:bookmarkStart w:id="14" w:name="a11"/>
      <w:bookmarkEnd w:id="14"/>
      <w:r w:rsidRPr="00FF0AB7">
        <w:rPr>
          <w:lang w:val="ru-RU"/>
        </w:rPr>
        <w:lastRenderedPageBreak/>
        <w:t>ГЛАВА 4</w:t>
      </w:r>
      <w:r w:rsidRPr="00FF0AB7">
        <w:rPr>
          <w:lang w:val="ru-RU"/>
        </w:rPr>
        <w:br/>
        <w:t>ЭКСПЛУАТАЦИЯ ОСНОВНОГО ОБОРУДОВАНИЯ</w:t>
      </w:r>
    </w:p>
    <w:p w:rsidR="006F4F88" w:rsidRPr="00FF0AB7" w:rsidRDefault="006F4F88" w:rsidP="00FF0AB7">
      <w:pPr>
        <w:pStyle w:val="chapter"/>
        <w:spacing w:before="0" w:after="0"/>
        <w:divId w:val="367606159"/>
        <w:rPr>
          <w:lang w:val="ru-RU"/>
        </w:rPr>
      </w:pP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29. Эксплуатация основного оборудования осуществляется на основании инструкции изготовителя.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Первоначальные (проектные) характеристики основного оборудования принимаются по документации изготовителя. Фактические характеристики основного оборудования уточняются при эксплуатации.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30. Режимами эксплуатации основного оборудования являются: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постоянная готовность;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периодическая готовность (готовность за определенное время) в любое время зимнего или летнего периода.</w:t>
      </w:r>
    </w:p>
    <w:p w:rsidR="00667D83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31. Режим эксплуатации основного оборудования задается автоматически от управляющего комплекса диспетчерского управления либо вручную.</w:t>
      </w:r>
    </w:p>
    <w:p w:rsidR="006F4F88" w:rsidRPr="00FF0AB7" w:rsidRDefault="006F4F88" w:rsidP="00FF0AB7">
      <w:pPr>
        <w:pStyle w:val="point"/>
        <w:spacing w:before="0" w:after="0"/>
        <w:divId w:val="367606159"/>
        <w:rPr>
          <w:lang w:val="ru-RU"/>
        </w:rPr>
      </w:pPr>
    </w:p>
    <w:p w:rsidR="00667D83" w:rsidRDefault="005D37F0" w:rsidP="00FF0AB7">
      <w:pPr>
        <w:pStyle w:val="chapter"/>
        <w:spacing w:before="0" w:after="0"/>
        <w:divId w:val="367606159"/>
        <w:rPr>
          <w:lang w:val="ru-RU"/>
        </w:rPr>
      </w:pPr>
      <w:bookmarkStart w:id="15" w:name="a12"/>
      <w:bookmarkEnd w:id="15"/>
      <w:r w:rsidRPr="00FF0AB7">
        <w:rPr>
          <w:lang w:val="ru-RU"/>
        </w:rPr>
        <w:t>ГЛАВА 5</w:t>
      </w:r>
      <w:r w:rsidRPr="00FF0AB7">
        <w:rPr>
          <w:lang w:val="ru-RU"/>
        </w:rPr>
        <w:br/>
        <w:t>ОЦЕНКА ТЕХНИЧЕСКОГО СОСТОЯНИЯ ГТС</w:t>
      </w:r>
    </w:p>
    <w:p w:rsidR="006F4F88" w:rsidRPr="00FF0AB7" w:rsidRDefault="006F4F88" w:rsidP="00FF0AB7">
      <w:pPr>
        <w:pStyle w:val="chapter"/>
        <w:spacing w:before="0" w:after="0"/>
        <w:divId w:val="367606159"/>
        <w:rPr>
          <w:lang w:val="ru-RU"/>
        </w:rPr>
      </w:pPr>
      <w:bookmarkStart w:id="16" w:name="_GoBack"/>
      <w:bookmarkEnd w:id="16"/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32. Оценка технического состояния ГТС производится по критериям технического состояния ГТС, на основании актов осмотра, результатов технического обследования ГТС и сравнивается с проектными характеристиками ГТС.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33. Осмотр ГТС осуществляется комиссией, созданной эксплуатирующей организацией. Результаты осмотра оформляются актами осмотра.</w:t>
      </w:r>
    </w:p>
    <w:p w:rsidR="00667D83" w:rsidRPr="00FF0AB7" w:rsidRDefault="005D37F0" w:rsidP="00FF0AB7">
      <w:pPr>
        <w:pStyle w:val="newncpi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На основании акта осмотра принимается решение о необходимости проведения технического обследования ГТС с привлечением профильных специалистов или специализированной организации.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34. Техническое обследование и оценку технического состояния строительных конструкций производит специализированная организация.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35. Основной задачей технического обследования зданий является разработка рекомендаций и технических решений по восстановлению утраченных эксплуатационных качеств элементов здания (при ремонте) или приданию им новых качеств (при реконструкции) в изменившихся условиях эксплуатации.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36. Сооружения и конструкции, находящиеся под напором воды, а также их основания и примыкания должны удовлетворять нормативным (проектным) показателям.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37. Эксплуатация ГТС организуется в соответствии с уровнем безопасности ГТС</w:t>
      </w:r>
      <w:r w:rsidR="0027119B">
        <w:rPr>
          <w:lang w:val="ru-RU"/>
        </w:rPr>
        <w:t>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38. ГТС с неудовлетворительным и критическим уровнем безопасности, а также неиспользуемые ГТС могут эксплуатироваться только после ремонта или реконструкции либо подлежат отчуждению или ликвидации.</w:t>
      </w:r>
    </w:p>
    <w:p w:rsidR="00667D83" w:rsidRPr="00FF0AB7" w:rsidRDefault="005D37F0" w:rsidP="00FF0AB7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39. ГТС, относящиеся к опасным производственным объектам, подлежат декларированию промышленной безопасности в соответствии с законодательством.</w:t>
      </w:r>
    </w:p>
    <w:p w:rsidR="005D37F0" w:rsidRPr="00FF0AB7" w:rsidRDefault="005D37F0" w:rsidP="006F4F88">
      <w:pPr>
        <w:pStyle w:val="point"/>
        <w:spacing w:before="0" w:after="0"/>
        <w:divId w:val="367606159"/>
        <w:rPr>
          <w:lang w:val="ru-RU"/>
        </w:rPr>
      </w:pPr>
      <w:r w:rsidRPr="00FF0AB7">
        <w:rPr>
          <w:lang w:val="ru-RU"/>
        </w:rPr>
        <w:t>40. Состояние и уровень безопасности ГТС оценивается на основе проектных данных, осмотров, измерений, обследований, расчетов, экспертных оценок, а для ГТС IV категории при отсутствии документации – по результатам обследований в зависимости от характера действующих факторов и повреждений на основе осмотров.</w:t>
      </w:r>
    </w:p>
    <w:sectPr w:rsidR="005D37F0" w:rsidRPr="00FF0AB7" w:rsidSect="00FF0AB7">
      <w:pgSz w:w="12240" w:h="15840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D"/>
    <w:rsid w:val="00102286"/>
    <w:rsid w:val="0027119B"/>
    <w:rsid w:val="005D37F0"/>
    <w:rsid w:val="00667D83"/>
    <w:rsid w:val="006F4F88"/>
    <w:rsid w:val="00767483"/>
    <w:rsid w:val="007851DE"/>
    <w:rsid w:val="00942FCE"/>
    <w:rsid w:val="00C26982"/>
    <w:rsid w:val="00D16F79"/>
    <w:rsid w:val="00D40002"/>
    <w:rsid w:val="00DB1D7D"/>
    <w:rsid w:val="00E750B8"/>
    <w:rsid w:val="00F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BA7E"/>
  <w15:docId w15:val="{3D560DF6-5FE1-46CD-859D-9DE6E3E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38C8"/>
      <w:u w:val="single"/>
    </w:rPr>
  </w:style>
  <w:style w:type="paragraph" w:customStyle="1" w:styleId="titlencpi">
    <w:name w:val="titlencpi"/>
    <w:basedOn w:val="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hapter">
    <w:name w:val="chapter"/>
    <w:basedOn w:val="a"/>
    <w:pPr>
      <w:spacing w:before="360" w:after="360" w:line="240" w:lineRule="auto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paragraph" w:customStyle="1" w:styleId="titlep">
    <w:name w:val="titlep"/>
    <w:basedOn w:val="a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titleu">
    <w:name w:val="titleu"/>
    <w:basedOn w:val="a"/>
    <w:pPr>
      <w:spacing w:before="360" w:after="36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point">
    <w:name w:val="point"/>
    <w:basedOn w:val="a"/>
    <w:pPr>
      <w:spacing w:before="16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reamble">
    <w:name w:val="preamble"/>
    <w:basedOn w:val="a"/>
    <w:pPr>
      <w:spacing w:before="16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noski">
    <w:name w:val="snoski"/>
    <w:basedOn w:val="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noskiline">
    <w:name w:val="snoskiline"/>
    <w:basedOn w:val="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table10">
    <w:name w:val="table10"/>
    <w:basedOn w:val="a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append">
    <w:name w:val="append"/>
    <w:basedOn w:val="a"/>
    <w:pPr>
      <w:spacing w:after="0" w:line="240" w:lineRule="auto"/>
    </w:pPr>
    <w:rPr>
      <w:rFonts w:ascii="Times New Roman" w:hAnsi="Times New Roman" w:cs="Times New Roman"/>
      <w:i/>
      <w:iCs/>
    </w:rPr>
  </w:style>
  <w:style w:type="paragraph" w:customStyle="1" w:styleId="changeadd">
    <w:name w:val="changeadd"/>
    <w:basedOn w:val="a"/>
    <w:pPr>
      <w:spacing w:after="0" w:line="240" w:lineRule="auto"/>
      <w:ind w:left="1134"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hangei">
    <w:name w:val="changei"/>
    <w:basedOn w:val="a"/>
    <w:pPr>
      <w:spacing w:after="0" w:line="240" w:lineRule="auto"/>
      <w:ind w:left="1021"/>
    </w:pPr>
    <w:rPr>
      <w:rFonts w:ascii="Times New Roman" w:hAnsi="Times New Roman" w:cs="Times New Roman"/>
      <w:sz w:val="24"/>
      <w:szCs w:val="24"/>
    </w:rPr>
  </w:style>
  <w:style w:type="paragraph" w:customStyle="1" w:styleId="append1">
    <w:name w:val="append1"/>
    <w:basedOn w:val="a"/>
    <w:pPr>
      <w:spacing w:after="28" w:line="240" w:lineRule="auto"/>
    </w:pPr>
    <w:rPr>
      <w:rFonts w:ascii="Times New Roman" w:hAnsi="Times New Roman" w:cs="Times New Roman"/>
      <w:i/>
      <w:iCs/>
    </w:rPr>
  </w:style>
  <w:style w:type="paragraph" w:customStyle="1" w:styleId="cap1">
    <w:name w:val="cap1"/>
    <w:basedOn w:val="a"/>
    <w:pPr>
      <w:spacing w:after="0" w:line="240" w:lineRule="auto"/>
    </w:pPr>
    <w:rPr>
      <w:rFonts w:ascii="Times New Roman" w:hAnsi="Times New Roman" w:cs="Times New Roman"/>
      <w:i/>
      <w:iCs/>
    </w:rPr>
  </w:style>
  <w:style w:type="paragraph" w:customStyle="1" w:styleId="capu1">
    <w:name w:val="capu1"/>
    <w:basedOn w:val="a"/>
    <w:pPr>
      <w:spacing w:after="120" w:line="240" w:lineRule="auto"/>
    </w:pPr>
    <w:rPr>
      <w:rFonts w:ascii="Times New Roman" w:hAnsi="Times New Roman" w:cs="Times New Roman"/>
      <w:i/>
      <w:iCs/>
    </w:rPr>
  </w:style>
  <w:style w:type="paragraph" w:customStyle="1" w:styleId="newncpi">
    <w:name w:val="newncpi"/>
    <w:basedOn w:val="a"/>
    <w:pPr>
      <w:spacing w:before="16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ewncpi0">
    <w:name w:val="newncpi0"/>
    <w:basedOn w:val="a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zagrazdel">
    <w:name w:val="zagrazdel"/>
    <w:basedOn w:val="a"/>
    <w:pPr>
      <w:spacing w:before="360" w:after="360" w:line="240" w:lineRule="auto"/>
      <w:jc w:val="center"/>
    </w:pPr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name">
    <w:name w:val="name"/>
    <w:basedOn w:val="a0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4">
    <w:name w:val="FollowedHyperlink"/>
    <w:basedOn w:val="a0"/>
    <w:uiPriority w:val="99"/>
    <w:semiHidden/>
    <w:unhideWhenUsed/>
    <w:rsid w:val="00767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61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Владислав Мисевич</dc:creator>
  <cp:lastModifiedBy>Владислав Мисевич</cp:lastModifiedBy>
  <cp:revision>4</cp:revision>
  <dcterms:created xsi:type="dcterms:W3CDTF">2022-03-26T11:03:00Z</dcterms:created>
  <dcterms:modified xsi:type="dcterms:W3CDTF">2022-03-26T11:06:00Z</dcterms:modified>
</cp:coreProperties>
</file>