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Федеральное государственное бюджетное образовательное </w:t>
      </w:r>
      <w:r>
        <w:rPr>
          <w:rFonts w:eastAsia="Calibri"/>
          <w:sz w:val="22"/>
          <w:szCs w:val="22"/>
          <w14:ligatures w14:val="none"/>
        </w:rPr>
        <w:br/>
        <w:t xml:space="preserve">учреждение высшего образования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«Новгородский государственный университет имени Ярослава Мудрого»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160" w:line="256" w:lineRule="auto"/>
        <w:ind w:firstLine="0"/>
        <w:jc w:val="center"/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pP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ascii="Calibri" w:hAnsi="Calibri" w:eastAsia="Calibri"/>
          <w:sz w:val="22"/>
          <w:szCs w:val="22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eastAsia="Calibri"/>
          <w:sz w:val="22"/>
          <w:szCs w:val="22"/>
          <w14:ligatures w14:val="none"/>
        </w:rPr>
        <w:t xml:space="preserve">ИНСТИТУТ ЭЛЕКТРОННЫХ И ИНФОРМАЦИОННЫХ СИСТЕМ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ПОЛИТЕХНИЧЕСКИЙ КОЛЛЕДЖ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:sz w:val="32"/>
          <w:szCs w:val="32"/>
          <w14:ligatures w14:val="none"/>
        </w:rPr>
      </w:pP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ТЕХНИЧЕСКОЕ ЗАДАНИЕ НА РАЗРАБОТКУ ПРОГРАММНОГО ПРОДУКТА «</w:t>
      </w:r>
      <w:r>
        <w:rPr>
          <w:rFonts w:eastAsia="Calibri"/>
          <w:highlight w:val="yellow"/>
          <w14:ligatures w14:val="none"/>
        </w:rPr>
        <w:t xml:space="preserve">Информационная система для учета оборудования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br/>
        <w:t xml:space="preserve">по дисциплине «</w:t>
      </w:r>
      <w:r>
        <w:rPr>
          <w:rFonts w:eastAsia="Calibri"/>
          <w14:ligatures w14:val="none"/>
        </w:rPr>
        <w:t xml:space="preserve">ТРиЗБД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  <w:br/>
        <w:t xml:space="preserve">специальность 09.02.07 Информационные системы и программирование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567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Руководитель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4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Л.Н. Цымбалюк</w:t>
      </w:r>
      <w:r>
        <w:rPr>
          <w:rFonts w:eastAsia="Calibri"/>
          <w14:ligatures w14:val="none"/>
        </w:rPr>
        <w:br/>
        <w:t xml:space="preserve">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 года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9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4" w:lineRule="auto"/>
        <w:ind w:firstLine="0" w:left="4962"/>
        <w:jc w:val="left"/>
        <w:rPr>
          <w:rFonts w:eastAsia="Calibri"/>
          <w:u w:val="single"/>
          <w14:ligatures w14:val="none"/>
        </w:rPr>
      </w:pPr>
      <w:r>
        <w:rPr>
          <w:rFonts w:eastAsia="Calibri"/>
          <w14:ligatures w14:val="none"/>
        </w:rPr>
        <w:t xml:space="preserve">Студент группы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:u w:val="single"/>
          <w14:ligatures w14:val="none"/>
        </w:rPr>
      </w:r>
      <w:r>
        <w:rPr>
          <w:rFonts w:eastAsia="Calibri"/>
          <w:u w:val="single"/>
          <w14:ligatures w14:val="none"/>
        </w:rPr>
      </w:r>
    </w:p>
    <w:p>
      <w:pPr>
        <w:pBdr/>
        <w:spacing w:after="160" w:line="256" w:lineRule="auto"/>
        <w:ind w:firstLine="0"/>
        <w:jc w:val="righ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highlight w:val="yellow"/>
          <w14:ligatures w14:val="none"/>
        </w:rPr>
        <w:t xml:space="preserve">И.И.Барышников</w:t>
      </w:r>
      <w:r>
        <w:rPr>
          <w:rFonts w:eastAsia="Calibri"/>
          <w14:ligatures w14:val="none"/>
        </w:rPr>
        <w:t xml:space="preserve"> 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года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Style w:val="872"/>
        <w:suppressLineNumbers w:val="false"/>
        <w:pBdr/>
        <w:spacing/>
        <w:ind w:right="0" w:firstLine="0" w:left="0"/>
        <w:jc w:val="center"/>
        <w:rPr/>
      </w:pPr>
      <w:r>
        <w:rPr>
          <w14:ligatures w14:val="none"/>
        </w:rPr>
        <w:t xml:space="preserve">Введение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/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Цель документа — определить основные требования к информационной системе «&lt;НАЗВАНИЕ СИСТЕМЫ&gt;», установить нормативно-правовую базу и выявить ключевые риски, связанные с её разработкой и эксплуатацией.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Документ используется как основа для дальнейшего формирования ТЗ и Спецификации.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2. Краткое описание предметной области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Информационная система предназначена для автоматизации процессов в сфере &lt;ПРЕДМЕТНАЯ ОБЛАСТЬ&gt;.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В рамках системы предполагается поддержка следующих основных функций: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учёт основных объектов предметной области (&lt;КЛЮЧЕВЫЕ ОБЪЕКТЫ ДАННЫХ&gt;);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поддержка ролей пользователей (&lt;ТИПЫ ПОЛЬЗОВАТЕЛЕЙ&gt;);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выполнение операций: &lt;ОСНОВНЫЕ ФУНКЦИИ, 3–6 пунктов&gt;;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формирование отчётности по ключевым показателям.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Данное описание заменяется минимально, только под тему билета.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3. Анализ требований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3.1 Функциональные требования (вводные)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Система должна обеспечивать учёт основных сущностей: &lt;КЛЮЧЕВЫЕ ОБЪЕКТЫ ДАННЫХ&gt;.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Должны быть реализованы операции добавления, редактирования, удаления и поиска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Должна быть предусмотрена авторизация пользователей с разграничением доступа по ролям.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Система должна формировать отчёты по ключевым показателям деятельности.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Все изменения данных должны фиксироваться в системе (логирование событий — при необходимости).</w:t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3.2 Нефункциональные требования (общие)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Обеспечение защиты данных в соответствии с Федеральным законом №152-ФЗ.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Предотвращение несанкционированного доступа согласно Федеральному закону №149-ФЗ.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Интерфейс должен быть интуитивно понятным и обеспечивать минимальное количество действий для выполнения стандартных операций.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Время отклика интерфейса — не более 3 секунд при стандартной нагрузке.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Система должна обеспечивать корректную работу на оборудовании стандартной конфигурации.</w:t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4. Нормативно-правовая база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При разработке и эксплуатации системы используются следующие нормативные документы: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Федеральный закон от 27 июля 2006 года №152-ФЗ «О персональных данных».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Федеральный закон №149-ФЗ «Об информации, информационных технологиях и о защите информации».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ЛНА организации (например):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«Политика обработки персональных данных»;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«Положение об информационной системе &lt;НАЗВАНИЕ СИСТЕМЫ&gt;».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На экзамене можно оставить один ЛНА или перечислить 2–3 — это допускается.</w:t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5. Матрица рисков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Ниже приведена типовая матрица рисков для информационной системы.</w:t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(На экзамене удобно представить её в виде таблицы 4×4.)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5.1 Идентификация рисков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1871"/>
        <w:gridCol w:w="1871"/>
        <w:gridCol w:w="1871"/>
      </w:tblGrid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№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</w:p>
        </w:tc>
        <w:tc>
          <w:tcPr>
            <w:tcBorders/>
            <w:tcW w:w="31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Риск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Вероятность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Ущерб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Уровень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1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Утечка персональных данных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Средняя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Высокий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Высокий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2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Ошибка пользователя при вводе данных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Высокая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Средний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Средний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3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Недоступность системы из-за сбоя оборудования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Низкая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Высокий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Средний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4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Некорректные права доступа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Средняя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Высокий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Высокий</w:t>
            </w:r>
            <w:r>
              <w:rPr>
                <w:highlight w:val="none"/>
                <w14:ligatures w14:val="none"/>
              </w:rPr>
            </w:r>
          </w:p>
        </w:tc>
      </w:tr>
    </w:tbl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5.2 Краткое обоснование рисков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Нарушение правил обработки персональных данных может привести к юридической ответственности.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Ошибочный ввод данных часто встречается в системах с человеческим фактором.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Системы зависят от оборудования; сбои могут привести к простою.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Неправильно настроенные роли пользователей создают угрозу безопасности.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5.3 Меры снижения рисков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Использование механизмов авторизации, шифрования и журналирования согласно 152-ФЗ.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Валидация данных на клиентской и серверной стороне.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Регулярное резервное копирование.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Настройка и проверка прав доступа.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8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8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1" w:default="1">
    <w:name w:val="Default Paragraph Font"/>
    <w:uiPriority w:val="1"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Заголовок 1 Знак"/>
    <w:link w:val="872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5" w:customStyle="1">
    <w:name w:val="Заголовок 2 Знак"/>
    <w:link w:val="873"/>
    <w:uiPriority w:val="9"/>
    <w:semiHidden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6" w:customStyle="1">
    <w:name w:val="Заголовок 3 Знак"/>
    <w:link w:val="874"/>
    <w:uiPriority w:val="9"/>
    <w:semiHidden/>
    <w:pPr>
      <w:pBdr/>
      <w:spacing/>
      <w:ind/>
    </w:pPr>
    <w:rPr>
      <w:color w:val="000000" w:themeColor="text1"/>
    </w:rPr>
  </w:style>
  <w:style w:type="character" w:styleId="887" w:customStyle="1">
    <w:name w:val="Заголовок 4 Знак"/>
    <w:basedOn w:val="881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8" w:customStyle="1">
    <w:name w:val="Заголовок 5 Знак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Заголовок 6 Знак"/>
    <w:basedOn w:val="881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Заголовок 7 Знак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Заголовок 8 Знак"/>
    <w:basedOn w:val="881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Заголовок 9 Знак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Заголовок Знак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96" w:customStyle="1">
    <w:name w:val="Подзаголовок Знак"/>
    <w:basedOn w:val="881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Цитата 2 Знак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Выделенная цитата Знак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inkml:ink xmlns:inkml="http://www.w3.org/2003/InkML">
  <inkml:definitions/>
</inkml:ink>
</file>

<file path=customXml/itemProps1.xml><?xml version="1.0" encoding="utf-8"?>
<ds:datastoreItem xmlns:ds="http://schemas.openxmlformats.org/officeDocument/2006/customXml" ds:itemID="{7CA64C31-078F-A187-27BC-60F07A3882B0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Akulova</dc:creator>
  <cp:keywords/>
  <dc:description/>
  <cp:revision>3</cp:revision>
  <dcterms:created xsi:type="dcterms:W3CDTF">2025-12-11T17:28:00Z</dcterms:created>
  <dcterms:modified xsi:type="dcterms:W3CDTF">2025-12-11T19:41:47Z</dcterms:modified>
</cp:coreProperties>
</file>