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300"/>
              <w:left w:type="dxa" w:w="360"/>
              <w:bottom w:type="dxa" w:w="300"/>
              <w:right w:type="dxa" w:w="360"/>
            </w:tcMar>
          </w:tcPr>
          <w:p>
            <w:pPr>
              <w:jc w:val="left"/>
            </w:pPr>
            <w:r>
              <w:rPr>
                <w:rFonts w:ascii="Arial" w:cs="Arial" w:eastAsia="Arial" w:hAnsi="Arial"/>
                <w:b/>
                <w:bCs/>
                <w:color w:val="C8962B"/>
                <w:sz w:val="20"/>
                <w:szCs w:val="20"/>
              </w:rPr>
              <w:t xml:space="preserve">PROPOSAL RESPONSE</w:t>
            </w:r>
          </w:p>
          <w:p>
            <w:pPr>
              <w:spacing w:after="80" w:before="80"/>
            </w:pPr>
            <w:r>
              <w:rPr>
                <w:rFonts w:ascii="Arial" w:cs="Arial" w:eastAsia="Arial" w:hAnsi="Arial"/>
                <w:b/>
                <w:bCs/>
                <w:color w:val="FFFFFF"/>
                <w:sz w:val="36"/>
                <w:szCs w:val="36"/>
              </w:rPr>
              <w:t xml:space="preserve">DFEAL LLC — Mission-Ready Technology Partner</w:t>
            </w:r>
          </w:p>
          <w:p>
            <w:pPr>
              <w:spacing w:after="40" w:before="60"/>
            </w:pPr>
            <w:r>
              <w:rPr>
                <w:rFonts w:ascii="Arial" w:cs="Arial" w:eastAsia="Arial" w:hAnsi="Arial"/>
                <w:color w:val="D0D8E8"/>
                <w:sz w:val="24"/>
                <w:szCs w:val="24"/>
              </w:rPr>
              <w:t xml:space="preserve">Chicago Transit Authority  |  Opportunity #231704</w:t>
            </w:r>
          </w:p>
          <w:p>
            <w:pPr>
              <w:spacing w:after="0" w:before="20"/>
            </w:pPr>
            <w:r>
              <w:rPr>
                <w:rFonts w:ascii="Arial" w:cs="Arial" w:eastAsia="Arial" w:hAnsi="Arial"/>
                <w:i/>
                <w:iCs/>
                <w:color w:val="D0D8E8"/>
                <w:sz w:val="20"/>
                <w:szCs w:val="20"/>
              </w:rPr>
              <w:t xml:space="preserve">Research &amp; Development  •  Health IT  •  Program Management  •  Training</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20"/>
              <w:bottom w:val="single" w:color="C0392B" w:sz="8"/>
              <w:right w:val="single" w:color="C0392B" w:sz="8"/>
            </w:tcBorders>
            <w:shd w:fill="FDF3F3" w:val="clear"/>
            <w:tcMar>
              <w:top w:type="dxa" w:w="80"/>
              <w:left w:type="dxa" w:w="160"/>
              <w:bottom w:type="dxa" w:w="80"/>
              <w:right w:type="dxa" w:w="160"/>
            </w:tcMar>
          </w:tcPr>
          <w:p>
            <w:r>
              <w:rPr>
                <w:rFonts w:ascii="Arial" w:cs="Arial" w:eastAsia="Arial" w:hAnsi="Arial"/>
                <w:b/>
                <w:bCs/>
                <w:color w:val="C0392B"/>
                <w:sz w:val="20"/>
                <w:szCs w:val="20"/>
              </w:rPr>
              <w:t xml:space="preserve">⚠  REVIEWER NOTE: </w:t>
            </w:r>
            <w:r>
              <w:rPr>
                <w:rFonts w:ascii="Arial" w:cs="Arial" w:eastAsia="Arial" w:hAnsi="Arial"/>
                <w:color w:val="C0392B"/>
                <w:sz w:val="20"/>
                <w:szCs w:val="20"/>
              </w:rPr>
              <w:t xml:space="preserve">The CTA Bonfire portal (Opportunity #231704) could not be accessed directly due to login restrictions. This proposal is structured around DFEAL's known capabilities and standard CTA procurement requirements. BEFORE SUBMISSION: (1) Download the full solicitation package from the Bonfire portal; (2) Verify and update all section titles, page limits, and submission format requirements; (3) Confirm due date, submission method, and any required attachments (e.g., DBE forms, insurance certificates, disclosure forms). Replace or remove this note before submitting.</w:t>
            </w:r>
          </w:p>
        </w:tc>
      </w:tr>
    </w:tbl>
    <w:p>
      <w:pPr>
        <w:spacing w:after="160" w:before="0"/>
      </w:pPr>
    </w:p>
    <w:p>
      <w:pPr>
        <w:pBdr>
          <w:bottom w:val="single" w:color="C8962B" w:sz="8"/>
        </w:pBdr>
        <w:spacing w:after="80" w:before="320"/>
      </w:pPr>
      <w:r>
        <w:rPr>
          <w:rFonts w:ascii="Arial" w:cs="Arial" w:eastAsia="Arial" w:hAnsi="Arial"/>
          <w:b/>
          <w:bCs/>
          <w:color w:val="C8962B"/>
          <w:sz w:val="28"/>
          <w:szCs w:val="28"/>
        </w:rPr>
        <w:t xml:space="preserve">01  </w:t>
      </w:r>
      <w:r>
        <w:rPr>
          <w:rFonts w:ascii="Arial" w:cs="Arial" w:eastAsia="Arial" w:hAnsi="Arial"/>
          <w:b/>
          <w:bCs/>
          <w:color w:val="1B2A4A"/>
          <w:sz w:val="28"/>
          <w:szCs w:val="28"/>
        </w:rPr>
        <w:t xml:space="preserve">Cover Letter &amp; Executive Summary</w:t>
      </w:r>
    </w:p>
    <w:p>
      <w:pPr>
        <w:spacing w:after="80" w:before="0"/>
      </w:pPr>
    </w:p>
    <w:p>
      <w:pPr>
        <w:spacing w:after="120" w:before="0"/>
        <w:jc w:val="left"/>
      </w:pPr>
      <w:r>
        <w:rPr>
          <w:rFonts w:ascii="Arial" w:cs="Arial" w:eastAsia="Arial" w:hAnsi="Arial"/>
          <w:b w:val="false"/>
          <w:bCs w:val="false"/>
          <w:i w:val="false"/>
          <w:iCs w:val="false"/>
          <w:color w:val="000000"/>
          <w:sz w:val="22"/>
          <w:szCs w:val="22"/>
        </w:rPr>
        <w:t xml:space="preserve">May 2, 2025</w:t>
      </w:r>
    </w:p>
    <w:p>
      <w:pPr>
        <w:spacing w:after="80" w:before="0"/>
      </w:pPr>
    </w:p>
    <w:p>
      <w:pPr>
        <w:spacing w:after="120" w:before="0"/>
        <w:jc w:val="left"/>
      </w:pPr>
      <w:r>
        <w:rPr>
          <w:rFonts w:ascii="Arial" w:cs="Arial" w:eastAsia="Arial" w:hAnsi="Arial"/>
          <w:b w:val="false"/>
          <w:bCs w:val="false"/>
          <w:i w:val="false"/>
          <w:iCs w:val="false"/>
          <w:color w:val="000000"/>
          <w:sz w:val="22"/>
          <w:szCs w:val="22"/>
        </w:rPr>
        <w:t xml:space="preserve">Procurement Department</w:t>
      </w:r>
    </w:p>
    <w:p>
      <w:pPr>
        <w:spacing w:after="120" w:before="0"/>
        <w:jc w:val="left"/>
      </w:pPr>
      <w:r>
        <w:rPr>
          <w:rFonts w:ascii="Arial" w:cs="Arial" w:eastAsia="Arial" w:hAnsi="Arial"/>
          <w:b w:val="false"/>
          <w:bCs w:val="false"/>
          <w:i w:val="false"/>
          <w:iCs w:val="false"/>
          <w:color w:val="000000"/>
          <w:sz w:val="22"/>
          <w:szCs w:val="22"/>
        </w:rPr>
        <w:t xml:space="preserve">Chicago Transit Authority</w:t>
      </w:r>
    </w:p>
    <w:p>
      <w:pPr>
        <w:spacing w:after="120" w:before="0"/>
        <w:jc w:val="left"/>
      </w:pPr>
      <w:r>
        <w:rPr>
          <w:rFonts w:ascii="Arial" w:cs="Arial" w:eastAsia="Arial" w:hAnsi="Arial"/>
          <w:b w:val="false"/>
          <w:bCs w:val="false"/>
          <w:i w:val="false"/>
          <w:iCs w:val="false"/>
          <w:color w:val="000000"/>
          <w:sz w:val="22"/>
          <w:szCs w:val="22"/>
        </w:rPr>
        <w:t xml:space="preserve">567 W. Lake Street, Chicago, IL 60661</w:t>
      </w:r>
    </w:p>
    <w:p>
      <w:pPr>
        <w:spacing w:after="80" w:before="0"/>
      </w:pPr>
    </w:p>
    <w:p>
      <w:pPr>
        <w:spacing w:after="120" w:before="0"/>
        <w:jc w:val="left"/>
      </w:pPr>
      <w:r>
        <w:rPr>
          <w:rFonts w:ascii="Arial" w:cs="Arial" w:eastAsia="Arial" w:hAnsi="Arial"/>
          <w:b/>
          <w:bCs/>
          <w:i w:val="false"/>
          <w:iCs w:val="false"/>
          <w:color w:val="000000"/>
          <w:sz w:val="22"/>
          <w:szCs w:val="22"/>
        </w:rPr>
        <w:t xml:space="preserve">Re: Proposal Response — CTA Opportunity #231704</w:t>
      </w:r>
    </w:p>
    <w:p>
      <w:pPr>
        <w:spacing w:after="80" w:before="0"/>
      </w:pPr>
    </w:p>
    <w:p>
      <w:pPr>
        <w:spacing w:after="120" w:before="0"/>
        <w:jc w:val="left"/>
      </w:pPr>
      <w:r>
        <w:rPr>
          <w:rFonts w:ascii="Arial" w:cs="Arial" w:eastAsia="Arial" w:hAnsi="Arial"/>
          <w:b w:val="false"/>
          <w:bCs w:val="false"/>
          <w:i w:val="false"/>
          <w:iCs w:val="false"/>
          <w:color w:val="000000"/>
          <w:sz w:val="22"/>
          <w:szCs w:val="22"/>
        </w:rPr>
        <w:t xml:space="preserve">Dear CTA Procurement Team,</w:t>
      </w:r>
    </w:p>
    <w:p>
      <w:pPr>
        <w:spacing w:after="120" w:before="0"/>
        <w:jc w:val="left"/>
      </w:pPr>
      <w:r>
        <w:rPr>
          <w:rFonts w:ascii="Arial" w:cs="Arial" w:eastAsia="Arial" w:hAnsi="Arial"/>
          <w:b w:val="false"/>
          <w:bCs w:val="false"/>
          <w:i w:val="false"/>
          <w:iCs w:val="false"/>
          <w:color w:val="000000"/>
          <w:sz w:val="22"/>
          <w:szCs w:val="22"/>
        </w:rPr>
        <w:t xml:space="preserve">DFEAL LLC is pleased to submit this proposal in response to Chicago Transit Authority Opportunity #231704. We are a small business with deep experience in research and development, Health IT, program management, scientific and technical consulting, and workforce training — capabilities directly aligned with CTA's mission-critical operational needs.</w:t>
      </w:r>
    </w:p>
    <w:p>
      <w:pPr>
        <w:spacing w:after="120" w:before="0"/>
        <w:jc w:val="left"/>
      </w:pPr>
      <w:r>
        <w:rPr>
          <w:rFonts w:ascii="Arial" w:cs="Arial" w:eastAsia="Arial" w:hAnsi="Arial"/>
          <w:b w:val="false"/>
          <w:bCs w:val="false"/>
          <w:i w:val="false"/>
          <w:iCs w:val="false"/>
          <w:color w:val="000000"/>
          <w:sz w:val="22"/>
          <w:szCs w:val="22"/>
        </w:rPr>
        <w:t xml:space="preserve">DFEAL brings a practical, compliance-first approach to every engagement. We integrate directly into client workflows, deliver measurable results, and maintain strict adherence to applicable regulations and data security standards. We are confident in our ability to support CTA's objectives with the agility and discipline that complex transit environments demand.</w:t>
      </w:r>
    </w:p>
    <w:p>
      <w:pPr>
        <w:spacing w:after="120" w:before="0"/>
        <w:jc w:val="left"/>
      </w:pPr>
      <w:r>
        <w:rPr>
          <w:rFonts w:ascii="Arial" w:cs="Arial" w:eastAsia="Arial" w:hAnsi="Arial"/>
          <w:b w:val="false"/>
          <w:bCs w:val="false"/>
          <w:i w:val="false"/>
          <w:iCs w:val="false"/>
          <w:color w:val="000000"/>
          <w:sz w:val="22"/>
          <w:szCs w:val="22"/>
        </w:rPr>
        <w:t xml:space="preserve">We welcome the opportunity to discuss our qualifications further and are prepared to mobilize quickly upon contract award.</w:t>
      </w:r>
    </w:p>
    <w:p>
      <w:pPr>
        <w:spacing w:after="80" w:before="0"/>
      </w:pPr>
    </w:p>
    <w:p>
      <w:pPr>
        <w:spacing w:after="120" w:before="0"/>
        <w:jc w:val="left"/>
      </w:pPr>
      <w:r>
        <w:rPr>
          <w:rFonts w:ascii="Arial" w:cs="Arial" w:eastAsia="Arial" w:hAnsi="Arial"/>
          <w:b w:val="false"/>
          <w:bCs w:val="false"/>
          <w:i w:val="false"/>
          <w:iCs w:val="false"/>
          <w:color w:val="000000"/>
          <w:sz w:val="22"/>
          <w:szCs w:val="22"/>
        </w:rPr>
        <w:t xml:space="preserve">Respectfully submitted,</w:t>
      </w:r>
    </w:p>
    <w:p>
      <w:pPr>
        <w:spacing w:after="80" w:before="0"/>
      </w:pPr>
    </w:p>
    <w:p>
      <w:pPr>
        <w:spacing w:after="120" w:before="0"/>
        <w:jc w:val="left"/>
      </w:pPr>
      <w:r>
        <w:rPr>
          <w:rFonts w:ascii="Arial" w:cs="Arial" w:eastAsia="Arial" w:hAnsi="Arial"/>
          <w:b/>
          <w:bCs/>
          <w:i w:val="false"/>
          <w:iCs w:val="false"/>
          <w:color w:val="000000"/>
          <w:sz w:val="22"/>
          <w:szCs w:val="22"/>
        </w:rPr>
        <w:t xml:space="preserve">Business Development Team</w:t>
      </w:r>
    </w:p>
    <w:p>
      <w:pPr>
        <w:spacing w:after="120" w:before="0"/>
        <w:jc w:val="left"/>
      </w:pPr>
      <w:r>
        <w:rPr>
          <w:rFonts w:ascii="Arial" w:cs="Arial" w:eastAsia="Arial" w:hAnsi="Arial"/>
          <w:b w:val="false"/>
          <w:bCs w:val="false"/>
          <w:i w:val="false"/>
          <w:iCs w:val="false"/>
          <w:color w:val="000000"/>
          <w:sz w:val="22"/>
          <w:szCs w:val="22"/>
        </w:rPr>
        <w:t xml:space="preserve">DFEAL LLC</w:t>
      </w:r>
    </w:p>
    <w:p>
      <w:pPr>
        <w:spacing w:after="120" w:before="0"/>
        <w:jc w:val="left"/>
      </w:pPr>
      <w:r>
        <w:rPr>
          <w:rFonts w:ascii="Arial" w:cs="Arial" w:eastAsia="Arial" w:hAnsi="Arial"/>
          <w:b w:val="false"/>
          <w:bCs w:val="false"/>
          <w:i w:val="false"/>
          <w:iCs w:val="false"/>
          <w:color w:val="000000"/>
          <w:sz w:val="22"/>
          <w:szCs w:val="22"/>
        </w:rPr>
        <w:t xml:space="preserve">info@dfeal.com  |  shola@dfeal.com  |  844-442-0529</w:t>
      </w:r>
    </w:p>
    <w:p>
      <w:pPr>
        <w:spacing w:after="120" w:before="0"/>
        <w:jc w:val="left"/>
      </w:pPr>
      <w:r>
        <w:rPr>
          <w:rFonts w:ascii="Arial" w:cs="Arial" w:eastAsia="Arial" w:hAnsi="Arial"/>
          <w:b w:val="false"/>
          <w:bCs w:val="false"/>
          <w:i w:val="false"/>
          <w:iCs w:val="false"/>
          <w:color w:val="000000"/>
          <w:sz w:val="22"/>
          <w:szCs w:val="22"/>
        </w:rPr>
        <w:t xml:space="preserve">254 Chapman Rd. Ste 208, Newark, Delaware 19702</w:t>
      </w:r>
    </w:p>
    <w:p>
      <w:pPr>
        <w:spacing w:after="120" w:before="0"/>
        <w:jc w:val="left"/>
      </w:pPr>
      <w:r>
        <w:rPr>
          <w:rFonts w:ascii="Arial" w:cs="Arial" w:eastAsia="Arial" w:hAnsi="Arial"/>
          <w:b w:val="false"/>
          <w:bCs w:val="false"/>
          <w:i w:val="false"/>
          <w:iCs w:val="false"/>
          <w:color w:val="000000"/>
          <w:sz w:val="22"/>
          <w:szCs w:val="22"/>
        </w:rPr>
        <w:t xml:space="preserve">www.dfeal.com</w:t>
      </w:r>
    </w:p>
    <w:p>
      <w:pPr>
        <w:spacing w:after="160" w:before="0"/>
      </w:pPr>
    </w:p>
    <w:p>
      <w:pPr>
        <w:pBdr>
          <w:bottom w:val="single" w:color="C8962B" w:sz="8"/>
        </w:pBdr>
        <w:spacing w:after="80" w:before="320"/>
      </w:pPr>
      <w:r>
        <w:rPr>
          <w:rFonts w:ascii="Arial" w:cs="Arial" w:eastAsia="Arial" w:hAnsi="Arial"/>
          <w:b/>
          <w:bCs/>
          <w:color w:val="C8962B"/>
          <w:sz w:val="28"/>
          <w:szCs w:val="28"/>
        </w:rPr>
        <w:t xml:space="preserve">02  </w:t>
      </w:r>
      <w:r>
        <w:rPr>
          <w:rFonts w:ascii="Arial" w:cs="Arial" w:eastAsia="Arial" w:hAnsi="Arial"/>
          <w:b/>
          <w:bCs/>
          <w:color w:val="1B2A4A"/>
          <w:sz w:val="28"/>
          <w:szCs w:val="28"/>
        </w:rPr>
        <w:t xml:space="preserve">Company Information &amp; Qualifications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b/>
                <w:bCs/>
                <w:color w:val="1B2A4A"/>
                <w:sz w:val="20"/>
                <w:szCs w:val="20"/>
              </w:rPr>
              <w:t xml:space="preserve">Legal Entity Name</w:t>
            </w:r>
          </w:p>
        </w:tc>
        <w:tc>
          <w:tcPr>
            <w:tcW w:type="dxa" w:w="656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sz w:val="20"/>
                <w:szCs w:val="20"/>
              </w:rPr>
              <w:t xml:space="preserve">DFEAL LLC</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b/>
                <w:bCs/>
                <w:color w:val="1B2A4A"/>
                <w:sz w:val="20"/>
                <w:szCs w:val="20"/>
              </w:rPr>
              <w:t xml:space="preserve">Website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20"/>
                <w:szCs w:val="20"/>
              </w:rPr>
              <w:t xml:space="preserve">www.dfeal.com</w:t>
            </w:r>
          </w:p>
        </w:tc>
      </w:tr>
      <w:tr>
        <w:tc>
          <w:tcPr>
            <w:tcW w:type="dxa" w:w="28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b/>
                <w:bCs/>
                <w:color w:val="1B2A4A"/>
                <w:sz w:val="20"/>
                <w:szCs w:val="20"/>
              </w:rPr>
              <w:t xml:space="preserve">Email / Phone</w:t>
            </w:r>
          </w:p>
        </w:tc>
        <w:tc>
          <w:tcPr>
            <w:tcW w:type="dxa" w:w="656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sz w:val="20"/>
                <w:szCs w:val="20"/>
              </w:rPr>
              <w:t xml:space="preserve">info@dfeal.com  |  844-442-0529</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b/>
                <w:bCs/>
                <w:color w:val="1B2A4A"/>
                <w:sz w:val="20"/>
                <w:szCs w:val="20"/>
              </w:rPr>
              <w:t xml:space="preserve">CAGE Code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20"/>
                <w:szCs w:val="20"/>
              </w:rPr>
              <w:t xml:space="preserve">15RT3</w:t>
            </w:r>
          </w:p>
        </w:tc>
      </w:tr>
      <w:tr>
        <w:tc>
          <w:tcPr>
            <w:tcW w:type="dxa" w:w="28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b/>
                <w:bCs/>
                <w:color w:val="1B2A4A"/>
                <w:sz w:val="20"/>
                <w:szCs w:val="20"/>
              </w:rPr>
              <w:t xml:space="preserve">UEI Number</w:t>
            </w:r>
          </w:p>
        </w:tc>
        <w:tc>
          <w:tcPr>
            <w:tcW w:type="dxa" w:w="656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sz w:val="20"/>
                <w:szCs w:val="20"/>
              </w:rPr>
              <w:t xml:space="preserve">G1XCPA2ANMC3</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b/>
                <w:bCs/>
                <w:color w:val="1B2A4A"/>
                <w:sz w:val="20"/>
                <w:szCs w:val="20"/>
              </w:rPr>
              <w:t xml:space="preserve">DUNS Number</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20"/>
                <w:szCs w:val="20"/>
              </w:rPr>
              <w:t xml:space="preserve">11-926-8200</w:t>
            </w:r>
          </w:p>
        </w:tc>
      </w:tr>
      <w:tr>
        <w:tc>
          <w:tcPr>
            <w:tcW w:type="dxa" w:w="28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b/>
                <w:bCs/>
                <w:color w:val="1B2A4A"/>
                <w:sz w:val="20"/>
                <w:szCs w:val="20"/>
              </w:rPr>
              <w:t xml:space="preserve">EIN</w:t>
            </w:r>
          </w:p>
        </w:tc>
        <w:tc>
          <w:tcPr>
            <w:tcW w:type="dxa" w:w="656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sz w:val="20"/>
                <w:szCs w:val="20"/>
              </w:rPr>
              <w:t xml:space="preserve">99-1886377</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b/>
                <w:bCs/>
                <w:color w:val="1B2A4A"/>
                <w:sz w:val="20"/>
                <w:szCs w:val="20"/>
              </w:rPr>
              <w:t xml:space="preserve">Business Type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20"/>
                <w:szCs w:val="20"/>
              </w:rPr>
              <w:t xml:space="preserve">Small Business (1–30 Employees)</w:t>
            </w:r>
          </w:p>
        </w:tc>
      </w:tr>
      <w:tr>
        <w:tc>
          <w:tcPr>
            <w:tcW w:type="dxa" w:w="28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b/>
                <w:bCs/>
                <w:color w:val="1B2A4A"/>
                <w:sz w:val="20"/>
                <w:szCs w:val="20"/>
              </w:rPr>
              <w:t xml:space="preserve">Set-Aside Status</w:t>
            </w:r>
          </w:p>
        </w:tc>
        <w:tc>
          <w:tcPr>
            <w:tcW w:type="dxa" w:w="656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sz w:val="20"/>
                <w:szCs w:val="20"/>
              </w:rPr>
              <w:t xml:space="preserve">Small Business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b/>
                <w:bCs/>
                <w:color w:val="1B2A4A"/>
                <w:sz w:val="20"/>
                <w:szCs w:val="20"/>
              </w:rPr>
              <w:t xml:space="preserve">Primary NAICS</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20"/>
                <w:szCs w:val="20"/>
              </w:rPr>
              <w:t xml:space="preserve">541611 — Administrative Management and General Management Consulting Services</w:t>
            </w:r>
          </w:p>
        </w:tc>
      </w:tr>
      <w:tr>
        <w:tc>
          <w:tcPr>
            <w:tcW w:type="dxa" w:w="28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b/>
                <w:bCs/>
                <w:color w:val="1B2A4A"/>
                <w:sz w:val="20"/>
                <w:szCs w:val="20"/>
              </w:rPr>
              <w:t xml:space="preserve">Additional NAICS</w:t>
            </w:r>
          </w:p>
        </w:tc>
        <w:tc>
          <w:tcPr>
            <w:tcW w:type="dxa" w:w="656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sz w:val="20"/>
                <w:szCs w:val="20"/>
              </w:rPr>
              <w:t xml:space="preserve">541715 — R&amp;D in Physical, Engineering &amp; Life Sciences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b/>
                <w:bCs/>
                <w:color w:val="1B2A4A"/>
                <w:sz w:val="20"/>
                <w:szCs w:val="20"/>
              </w:rPr>
              <w:t xml:space="preserve">Additional NAICS</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20"/>
                <w:szCs w:val="20"/>
              </w:rPr>
              <w:t xml:space="preserve">541690 — Other Scientific and Technical Consulting Services</w:t>
            </w:r>
          </w:p>
        </w:tc>
      </w:tr>
      <w:tr>
        <w:tc>
          <w:tcPr>
            <w:tcW w:type="dxa" w:w="28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b/>
                <w:bCs/>
                <w:color w:val="1B2A4A"/>
                <w:sz w:val="20"/>
                <w:szCs w:val="20"/>
              </w:rPr>
              <w:t xml:space="preserve">PSC Code</w:t>
            </w:r>
          </w:p>
        </w:tc>
        <w:tc>
          <w:tcPr>
            <w:tcW w:type="dxa" w:w="656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sz w:val="20"/>
                <w:szCs w:val="20"/>
              </w:rPr>
              <w:t xml:space="preserve">R499 — Support: Professional: Other</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b/>
                <w:bCs/>
                <w:color w:val="1B2A4A"/>
                <w:sz w:val="20"/>
                <w:szCs w:val="20"/>
              </w:rPr>
              <w:t xml:space="preserve">Business Addresses</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20"/>
                <w:szCs w:val="20"/>
              </w:rPr>
              <w:t xml:space="preserve">254 Chapman Rd. Ste 208, Newark, DE 19702
800 Beethoven St., Volo, IL 60073-5933 (Illinois presence)</w:t>
            </w:r>
          </w:p>
        </w:tc>
      </w:tr>
      <w:tr>
        <w:tc>
          <w:tcPr>
            <w:tcW w:type="dxa" w:w="28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b/>
                <w:bCs/>
                <w:color w:val="1B2A4A"/>
                <w:sz w:val="20"/>
                <w:szCs w:val="20"/>
              </w:rPr>
              <w:t xml:space="preserve">GWACs / Schedules</w:t>
            </w:r>
          </w:p>
        </w:tc>
        <w:tc>
          <w:tcPr>
            <w:tcW w:type="dxa" w:w="656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sz w:val="20"/>
                <w:szCs w:val="20"/>
              </w:rPr>
              <w:t xml:space="preserve">Actively pursuing GSA Schedule 541; additional vehicles available upon request</w:t>
            </w:r>
          </w:p>
        </w:tc>
      </w:tr>
    </w:tbl>
    <w:p>
      <w:pPr>
        <w:spacing w:after="120" w:before="0"/>
      </w:pPr>
    </w:p>
    <w:p>
      <w:pPr>
        <w:spacing w:after="120" w:before="0"/>
        <w:jc w:val="left"/>
      </w:pPr>
      <w:r>
        <w:rPr>
          <w:rFonts w:ascii="Arial" w:cs="Arial" w:eastAsia="Arial" w:hAnsi="Arial"/>
          <w:b w:val="false"/>
          <w:bCs w:val="false"/>
          <w:i w:val="false"/>
          <w:iCs w:val="false"/>
          <w:color w:val="555555"/>
          <w:sz w:val="22"/>
          <w:szCs w:val="22"/>
        </w:rPr>
        <w:t xml:space="preserve">DFEAL LLC provides innovative scientific, technical, and research-based solutions to federal and private-sector partners across healthcare, biotechnology, pharmaceutical, and life sciences sectors. Our Illinois address in Volo, IL demonstrates an established regional presence within CTA's operating area.</w:t>
      </w:r>
    </w:p>
    <w:p>
      <w:pPr>
        <w:spacing w:after="160" w:before="0"/>
      </w:pPr>
    </w:p>
    <w:p>
      <w:pPr>
        <w:pBdr>
          <w:bottom w:val="single" w:color="C8962B" w:sz="8"/>
        </w:pBdr>
        <w:spacing w:after="80" w:before="320"/>
      </w:pPr>
      <w:r>
        <w:rPr>
          <w:rFonts w:ascii="Arial" w:cs="Arial" w:eastAsia="Arial" w:hAnsi="Arial"/>
          <w:b/>
          <w:bCs/>
          <w:color w:val="C8962B"/>
          <w:sz w:val="28"/>
          <w:szCs w:val="28"/>
        </w:rPr>
        <w:t xml:space="preserve">03  </w:t>
      </w:r>
      <w:r>
        <w:rPr>
          <w:rFonts w:ascii="Arial" w:cs="Arial" w:eastAsia="Arial" w:hAnsi="Arial"/>
          <w:b/>
          <w:bCs/>
          <w:color w:val="1B2A4A"/>
          <w:sz w:val="28"/>
          <w:szCs w:val="28"/>
        </w:rPr>
        <w:t xml:space="preserve">Scope of Work &amp; Technical Approach</w:t>
      </w:r>
    </w:p>
    <w:p>
      <w:pPr>
        <w:spacing w:after="80" w:before="0"/>
      </w:pPr>
    </w:p>
    <w:p>
      <w:pPr>
        <w:spacing w:after="160" w:before="0"/>
        <w:jc w:val="left"/>
      </w:pPr>
      <w:r>
        <w:rPr>
          <w:rFonts w:ascii="Arial" w:cs="Arial" w:eastAsia="Arial" w:hAnsi="Arial"/>
          <w:b w:val="false"/>
          <w:bCs w:val="false"/>
          <w:i w:val="false"/>
          <w:iCs w:val="false"/>
          <w:color w:val="000000"/>
          <w:sz w:val="22"/>
          <w:szCs w:val="22"/>
        </w:rPr>
        <w:t xml:space="preserve">DFEAL's technical approach is built on four integrated service pillars, each directly applicable to the requirements of this solicitation.</w:t>
      </w:r>
    </w:p>
    <w:p>
      <w:pPr>
        <w:spacing w:after="80" w:before="200"/>
      </w:pPr>
      <w:r>
        <w:rPr>
          <w:rFonts w:ascii="Arial" w:cs="Arial" w:eastAsia="Arial" w:hAnsi="Arial"/>
          <w:b/>
          <w:bCs/>
          <w:color w:val="1B2A4A"/>
          <w:sz w:val="24"/>
          <w:szCs w:val="24"/>
        </w:rPr>
        <w:t xml:space="preserve">3.1  Research &amp; Development</w:t>
      </w:r>
    </w:p>
    <w:p>
      <w:pPr>
        <w:spacing w:after="120" w:before="0"/>
        <w:jc w:val="left"/>
      </w:pPr>
      <w:r>
        <w:rPr>
          <w:rFonts w:ascii="Arial" w:cs="Arial" w:eastAsia="Arial" w:hAnsi="Arial"/>
          <w:b w:val="false"/>
          <w:bCs w:val="false"/>
          <w:i w:val="false"/>
          <w:iCs w:val="false"/>
          <w:color w:val="000000"/>
          <w:sz w:val="22"/>
          <w:szCs w:val="22"/>
        </w:rPr>
        <w:t xml:space="preserve">DFEAL delivers advanced R&amp;D programs focused on practical, mission-aligned innovation. Our approach combines rigorous scientific methodology with operational context, ensuring deliverables translate directly into improved outcomes rather than theoretical recommendations.</w:t>
      </w:r>
    </w:p>
    <w:p>
      <w:pPr>
        <w:pStyle w:val="ListParagraph"/>
        <w:numPr>
          <w:ilvl w:val="0"/>
          <w:numId w:val="2"/>
        </w:numPr>
        <w:spacing w:after="80" w:before="0"/>
      </w:pPr>
      <w:r>
        <w:rPr>
          <w:rFonts w:ascii="Arial" w:cs="Arial" w:eastAsia="Arial" w:hAnsi="Arial"/>
          <w:b w:val="false"/>
          <w:bCs w:val="false"/>
          <w:color w:val="000000"/>
          <w:sz w:val="22"/>
          <w:szCs w:val="22"/>
        </w:rPr>
        <w:t xml:space="preserve">Biomedical sciences, healthcare technology, and clinical systems R&amp;D</w:t>
      </w:r>
    </w:p>
    <w:p>
      <w:pPr>
        <w:pStyle w:val="ListParagraph"/>
        <w:numPr>
          <w:ilvl w:val="0"/>
          <w:numId w:val="2"/>
        </w:numPr>
        <w:spacing w:after="80" w:before="0"/>
      </w:pPr>
      <w:r>
        <w:rPr>
          <w:rFonts w:ascii="Arial" w:cs="Arial" w:eastAsia="Arial" w:hAnsi="Arial"/>
          <w:b w:val="false"/>
          <w:bCs w:val="false"/>
          <w:color w:val="000000"/>
          <w:sz w:val="22"/>
          <w:szCs w:val="22"/>
        </w:rPr>
        <w:t xml:space="preserve">Evidence-based analytical frameworks supporting decision-making</w:t>
      </w:r>
    </w:p>
    <w:p>
      <w:pPr>
        <w:pStyle w:val="ListParagraph"/>
        <w:numPr>
          <w:ilvl w:val="0"/>
          <w:numId w:val="2"/>
        </w:numPr>
        <w:spacing w:after="80" w:before="0"/>
      </w:pPr>
      <w:r>
        <w:rPr>
          <w:rFonts w:ascii="Arial" w:cs="Arial" w:eastAsia="Arial" w:hAnsi="Arial"/>
          <w:b w:val="false"/>
          <w:bCs w:val="false"/>
          <w:color w:val="000000"/>
          <w:sz w:val="22"/>
          <w:szCs w:val="22"/>
        </w:rPr>
        <w:t xml:space="preserve">Technology scouting and feasibility assessments</w:t>
      </w:r>
    </w:p>
    <w:p>
      <w:pPr>
        <w:pStyle w:val="ListParagraph"/>
        <w:numPr>
          <w:ilvl w:val="0"/>
          <w:numId w:val="2"/>
        </w:numPr>
        <w:spacing w:after="80" w:before="0"/>
      </w:pPr>
      <w:r>
        <w:rPr>
          <w:rFonts w:ascii="Arial" w:cs="Arial" w:eastAsia="Arial" w:hAnsi="Arial"/>
          <w:b w:val="false"/>
          <w:bCs w:val="false"/>
          <w:color w:val="000000"/>
          <w:sz w:val="22"/>
          <w:szCs w:val="22"/>
        </w:rPr>
        <w:t xml:space="preserve">Structured documentation aligned with sponsor requirements</w:t>
      </w:r>
    </w:p>
    <w:p>
      <w:pPr>
        <w:spacing w:after="80" w:before="0"/>
      </w:pPr>
    </w:p>
    <w:p>
      <w:pPr>
        <w:spacing w:after="80" w:before="200"/>
      </w:pPr>
      <w:r>
        <w:rPr>
          <w:rFonts w:ascii="Arial" w:cs="Arial" w:eastAsia="Arial" w:hAnsi="Arial"/>
          <w:b/>
          <w:bCs/>
          <w:color w:val="1B2A4A"/>
          <w:sz w:val="24"/>
          <w:szCs w:val="24"/>
        </w:rPr>
        <w:t xml:space="preserve">3.2  Health Information Technology &amp; Analytics</w:t>
      </w:r>
    </w:p>
    <w:p>
      <w:pPr>
        <w:spacing w:after="120" w:before="0"/>
        <w:jc w:val="left"/>
      </w:pPr>
      <w:r>
        <w:rPr>
          <w:rFonts w:ascii="Arial" w:cs="Arial" w:eastAsia="Arial" w:hAnsi="Arial"/>
          <w:b w:val="false"/>
          <w:bCs w:val="false"/>
          <w:i w:val="false"/>
          <w:iCs w:val="false"/>
          <w:color w:val="000000"/>
          <w:sz w:val="22"/>
          <w:szCs w:val="22"/>
        </w:rPr>
        <w:t xml:space="preserve">Our Health IT practice deploys AI- and ML-powered systems that enhance data-driven decision-making, operational efficiency, and reporting transparency — capabilities with broad applicability in large transit and public-sector environments.</w:t>
      </w:r>
    </w:p>
    <w:p>
      <w:pPr>
        <w:pStyle w:val="ListParagraph"/>
        <w:numPr>
          <w:ilvl w:val="0"/>
          <w:numId w:val="2"/>
        </w:numPr>
        <w:spacing w:after="80" w:before="0"/>
      </w:pPr>
      <w:r>
        <w:rPr>
          <w:rFonts w:ascii="Arial" w:cs="Arial" w:eastAsia="Arial" w:hAnsi="Arial"/>
          <w:b w:val="false"/>
          <w:bCs w:val="false"/>
          <w:color w:val="000000"/>
          <w:sz w:val="22"/>
          <w:szCs w:val="22"/>
        </w:rPr>
        <w:t xml:space="preserve">Custom analytics dashboards delivering real-time operational visibility</w:t>
      </w:r>
    </w:p>
    <w:p>
      <w:pPr>
        <w:pStyle w:val="ListParagraph"/>
        <w:numPr>
          <w:ilvl w:val="0"/>
          <w:numId w:val="2"/>
        </w:numPr>
        <w:spacing w:after="80" w:before="0"/>
      </w:pPr>
      <w:r>
        <w:rPr>
          <w:rFonts w:ascii="Arial" w:cs="Arial" w:eastAsia="Arial" w:hAnsi="Arial"/>
          <w:b w:val="false"/>
          <w:bCs w:val="false"/>
          <w:color w:val="000000"/>
          <w:sz w:val="22"/>
          <w:szCs w:val="22"/>
        </w:rPr>
        <w:t xml:space="preserve">AI/ML integration for predictive analytics and resource optimization</w:t>
      </w:r>
    </w:p>
    <w:p>
      <w:pPr>
        <w:pStyle w:val="ListParagraph"/>
        <w:numPr>
          <w:ilvl w:val="0"/>
          <w:numId w:val="2"/>
        </w:numPr>
        <w:spacing w:after="80" w:before="0"/>
      </w:pPr>
      <w:r>
        <w:rPr>
          <w:rFonts w:ascii="Arial" w:cs="Arial" w:eastAsia="Arial" w:hAnsi="Arial"/>
          <w:b w:val="false"/>
          <w:bCs w:val="false"/>
          <w:color w:val="000000"/>
          <w:sz w:val="22"/>
          <w:szCs w:val="22"/>
        </w:rPr>
        <w:t xml:space="preserve">Data governance frameworks compliant with HIPAA and NIST SP 800-171</w:t>
      </w:r>
    </w:p>
    <w:p>
      <w:pPr>
        <w:pStyle w:val="ListParagraph"/>
        <w:numPr>
          <w:ilvl w:val="0"/>
          <w:numId w:val="2"/>
        </w:numPr>
        <w:spacing w:after="80" w:before="0"/>
      </w:pPr>
      <w:r>
        <w:rPr>
          <w:rFonts w:ascii="Arial" w:cs="Arial" w:eastAsia="Arial" w:hAnsi="Arial"/>
          <w:b w:val="false"/>
          <w:bCs w:val="false"/>
          <w:color w:val="000000"/>
          <w:sz w:val="22"/>
          <w:szCs w:val="22"/>
        </w:rPr>
        <w:t xml:space="preserve">Secure system design aligned with government confidentiality, integrity, and availability standards</w:t>
      </w:r>
    </w:p>
    <w:p>
      <w:pPr>
        <w:spacing w:after="80" w:before="0"/>
      </w:pPr>
    </w:p>
    <w:p>
      <w:pPr>
        <w:spacing w:after="80" w:before="200"/>
      </w:pPr>
      <w:r>
        <w:rPr>
          <w:rFonts w:ascii="Arial" w:cs="Arial" w:eastAsia="Arial" w:hAnsi="Arial"/>
          <w:b/>
          <w:bCs/>
          <w:color w:val="1B2A4A"/>
          <w:sz w:val="24"/>
          <w:szCs w:val="24"/>
        </w:rPr>
        <w:t xml:space="preserve">3.3  Program Management</w:t>
      </w:r>
    </w:p>
    <w:p>
      <w:pPr>
        <w:spacing w:after="120" w:before="0"/>
        <w:jc w:val="left"/>
      </w:pPr>
      <w:r>
        <w:rPr>
          <w:rFonts w:ascii="Arial" w:cs="Arial" w:eastAsia="Arial" w:hAnsi="Arial"/>
          <w:b w:val="false"/>
          <w:bCs w:val="false"/>
          <w:i w:val="false"/>
          <w:iCs w:val="false"/>
          <w:color w:val="000000"/>
          <w:sz w:val="22"/>
          <w:szCs w:val="22"/>
        </w:rPr>
        <w:t xml:space="preserve">DFEAL executes projects with disciplined, PMI-aligned program management practices. We deliver predictability through robust tracking systems, clear accountability structures, and proactive risk management — giving clients full visibility at every stage.</w:t>
      </w:r>
    </w:p>
    <w:p>
      <w:pPr>
        <w:pStyle w:val="ListParagraph"/>
        <w:numPr>
          <w:ilvl w:val="0"/>
          <w:numId w:val="2"/>
        </w:numPr>
        <w:spacing w:after="80" w:before="0"/>
      </w:pPr>
      <w:r>
        <w:rPr>
          <w:rFonts w:ascii="Arial" w:cs="Arial" w:eastAsia="Arial" w:hAnsi="Arial"/>
          <w:b w:val="false"/>
          <w:bCs w:val="false"/>
          <w:color w:val="000000"/>
          <w:sz w:val="22"/>
          <w:szCs w:val="22"/>
        </w:rPr>
        <w:t xml:space="preserve">PMI-standards-aligned project planning, scheduling, and budget management</w:t>
      </w:r>
    </w:p>
    <w:p>
      <w:pPr>
        <w:pStyle w:val="ListParagraph"/>
        <w:numPr>
          <w:ilvl w:val="0"/>
          <w:numId w:val="2"/>
        </w:numPr>
        <w:spacing w:after="80" w:before="0"/>
      </w:pPr>
      <w:r>
        <w:rPr>
          <w:rFonts w:ascii="Arial" w:cs="Arial" w:eastAsia="Arial" w:hAnsi="Arial"/>
          <w:b w:val="false"/>
          <w:bCs w:val="false"/>
          <w:color w:val="000000"/>
          <w:sz w:val="22"/>
          <w:szCs w:val="22"/>
        </w:rPr>
        <w:t xml:space="preserve">Risk registers with early identification across scope, schedule, and resource dimensions</w:t>
      </w:r>
    </w:p>
    <w:p>
      <w:pPr>
        <w:pStyle w:val="ListParagraph"/>
        <w:numPr>
          <w:ilvl w:val="0"/>
          <w:numId w:val="2"/>
        </w:numPr>
        <w:spacing w:after="80" w:before="0"/>
      </w:pPr>
      <w:r>
        <w:rPr>
          <w:rFonts w:ascii="Arial" w:cs="Arial" w:eastAsia="Arial" w:hAnsi="Arial"/>
          <w:b w:val="false"/>
          <w:bCs w:val="false"/>
          <w:color w:val="000000"/>
          <w:sz w:val="22"/>
          <w:szCs w:val="22"/>
        </w:rPr>
        <w:t xml:space="preserve">Clear milestone definitions, acceptance criteria, and quality checklists</w:t>
      </w:r>
    </w:p>
    <w:p>
      <w:pPr>
        <w:pStyle w:val="ListParagraph"/>
        <w:numPr>
          <w:ilvl w:val="0"/>
          <w:numId w:val="2"/>
        </w:numPr>
        <w:spacing w:after="80" w:before="0"/>
      </w:pPr>
      <w:r>
        <w:rPr>
          <w:rFonts w:ascii="Arial" w:cs="Arial" w:eastAsia="Arial" w:hAnsi="Arial"/>
          <w:b w:val="false"/>
          <w:bCs w:val="false"/>
          <w:color w:val="000000"/>
          <w:sz w:val="22"/>
          <w:szCs w:val="22"/>
        </w:rPr>
        <w:t xml:space="preserve">Regular status reporting and transparent escalation to leadership</w:t>
      </w:r>
    </w:p>
    <w:p>
      <w:pPr>
        <w:pStyle w:val="ListParagraph"/>
        <w:numPr>
          <w:ilvl w:val="0"/>
          <w:numId w:val="2"/>
        </w:numPr>
        <w:spacing w:after="80" w:before="0"/>
      </w:pPr>
      <w:r>
        <w:rPr>
          <w:rFonts w:ascii="Arial" w:cs="Arial" w:eastAsia="Arial" w:hAnsi="Arial"/>
          <w:b w:val="false"/>
          <w:bCs w:val="false"/>
          <w:color w:val="000000"/>
          <w:sz w:val="22"/>
          <w:szCs w:val="22"/>
        </w:rPr>
        <w:t xml:space="preserve">Surge capacity for evolving requirements within established frameworks</w:t>
      </w:r>
    </w:p>
    <w:p>
      <w:pPr>
        <w:spacing w:after="80" w:before="0"/>
      </w:pPr>
    </w:p>
    <w:p>
      <w:pPr>
        <w:spacing w:after="80" w:before="200"/>
      </w:pPr>
      <w:r>
        <w:rPr>
          <w:rFonts w:ascii="Arial" w:cs="Arial" w:eastAsia="Arial" w:hAnsi="Arial"/>
          <w:b/>
          <w:bCs/>
          <w:color w:val="1B2A4A"/>
          <w:sz w:val="24"/>
          <w:szCs w:val="24"/>
        </w:rPr>
        <w:t xml:space="preserve">3.4  Training &amp; Capacity Building</w:t>
      </w:r>
    </w:p>
    <w:p>
      <w:pPr>
        <w:spacing w:after="120" w:before="0"/>
        <w:jc w:val="left"/>
      </w:pPr>
      <w:r>
        <w:rPr>
          <w:rFonts w:ascii="Arial" w:cs="Arial" w:eastAsia="Arial" w:hAnsi="Arial"/>
          <w:b w:val="false"/>
          <w:bCs w:val="false"/>
          <w:i w:val="false"/>
          <w:iCs w:val="false"/>
          <w:color w:val="000000"/>
          <w:sz w:val="22"/>
          <w:szCs w:val="22"/>
        </w:rPr>
        <w:t xml:space="preserve">DFEAL designs and delivers workforce development programs tailored to each client's operational context and learning culture. Our training solutions drive lasting behavioral change and measurable competency improvement.</w:t>
      </w:r>
    </w:p>
    <w:p>
      <w:pPr>
        <w:pStyle w:val="ListParagraph"/>
        <w:numPr>
          <w:ilvl w:val="0"/>
          <w:numId w:val="2"/>
        </w:numPr>
        <w:spacing w:after="80" w:before="0"/>
      </w:pPr>
      <w:r>
        <w:rPr>
          <w:rFonts w:ascii="Arial" w:cs="Arial" w:eastAsia="Arial" w:hAnsi="Arial"/>
          <w:b w:val="false"/>
          <w:bCs w:val="false"/>
          <w:color w:val="000000"/>
          <w:sz w:val="22"/>
          <w:szCs w:val="22"/>
        </w:rPr>
        <w:t xml:space="preserve">Needs assessment, curriculum design, and facilitator-led delivery</w:t>
      </w:r>
    </w:p>
    <w:p>
      <w:pPr>
        <w:pStyle w:val="ListParagraph"/>
        <w:numPr>
          <w:ilvl w:val="0"/>
          <w:numId w:val="2"/>
        </w:numPr>
        <w:spacing w:after="80" w:before="0"/>
      </w:pPr>
      <w:r>
        <w:rPr>
          <w:rFonts w:ascii="Arial" w:cs="Arial" w:eastAsia="Arial" w:hAnsi="Arial"/>
          <w:b w:val="false"/>
          <w:bCs w:val="false"/>
          <w:color w:val="000000"/>
          <w:sz w:val="22"/>
          <w:szCs w:val="22"/>
        </w:rPr>
        <w:t xml:space="preserve">Reference materials, job aids, and continuous feedback mechanisms</w:t>
      </w:r>
    </w:p>
    <w:p>
      <w:pPr>
        <w:pStyle w:val="ListParagraph"/>
        <w:numPr>
          <w:ilvl w:val="0"/>
          <w:numId w:val="2"/>
        </w:numPr>
        <w:spacing w:after="80" w:before="0"/>
      </w:pPr>
      <w:r>
        <w:rPr>
          <w:rFonts w:ascii="Arial" w:cs="Arial" w:eastAsia="Arial" w:hAnsi="Arial"/>
          <w:b w:val="false"/>
          <w:bCs w:val="false"/>
          <w:color w:val="000000"/>
          <w:sz w:val="22"/>
          <w:szCs w:val="22"/>
        </w:rPr>
        <w:t xml:space="preserve">Onboarding programs for new personnel joining complex programs</w:t>
      </w:r>
    </w:p>
    <w:p>
      <w:pPr>
        <w:pStyle w:val="ListParagraph"/>
        <w:numPr>
          <w:ilvl w:val="0"/>
          <w:numId w:val="2"/>
        </w:numPr>
        <w:spacing w:after="80" w:before="0"/>
      </w:pPr>
      <w:r>
        <w:rPr>
          <w:rFonts w:ascii="Arial" w:cs="Arial" w:eastAsia="Arial" w:hAnsi="Arial"/>
          <w:b w:val="false"/>
          <w:bCs w:val="false"/>
          <w:color w:val="000000"/>
          <w:sz w:val="22"/>
          <w:szCs w:val="22"/>
        </w:rPr>
        <w:t xml:space="preserve">Knowledge transfer and process continuity across transition periods</w:t>
      </w:r>
    </w:p>
    <w:p>
      <w:pPr>
        <w:spacing w:after="80" w:before="0"/>
      </w:pPr>
    </w:p>
    <w:p>
      <w:pPr>
        <w:spacing w:after="80" w:before="200"/>
      </w:pPr>
      <w:r>
        <w:rPr>
          <w:rFonts w:ascii="Arial" w:cs="Arial" w:eastAsia="Arial" w:hAnsi="Arial"/>
          <w:b/>
          <w:bCs/>
          <w:color w:val="1B2A4A"/>
          <w:sz w:val="24"/>
          <w:szCs w:val="24"/>
        </w:rPr>
        <w:t xml:space="preserve">3.5  Federal Compliance &amp; Security by Design</w:t>
      </w:r>
    </w:p>
    <w:p>
      <w:pPr>
        <w:spacing w:after="120" w:before="0"/>
        <w:jc w:val="left"/>
      </w:pPr>
      <w:r>
        <w:rPr>
          <w:rFonts w:ascii="Arial" w:cs="Arial" w:eastAsia="Arial" w:hAnsi="Arial"/>
          <w:b w:val="false"/>
          <w:bCs w:val="false"/>
          <w:i w:val="false"/>
          <w:iCs w:val="false"/>
          <w:color w:val="000000"/>
          <w:sz w:val="22"/>
          <w:szCs w:val="22"/>
        </w:rPr>
        <w:t xml:space="preserve">All DFEAL solutions are architected with compliance requirements as a foundational prerequisite, not an afterthought:</w:t>
      </w:r>
    </w:p>
    <w:p>
      <w:pPr>
        <w:pStyle w:val="ListParagraph"/>
        <w:numPr>
          <w:ilvl w:val="0"/>
          <w:numId w:val="2"/>
        </w:numPr>
        <w:spacing w:after="80" w:before="0"/>
      </w:pPr>
      <w:r>
        <w:rPr>
          <w:rFonts w:ascii="Arial" w:cs="Arial" w:eastAsia="Arial" w:hAnsi="Arial"/>
          <w:b w:val="false"/>
          <w:bCs w:val="false"/>
          <w:color w:val="000000"/>
          <w:sz w:val="22"/>
          <w:szCs w:val="22"/>
        </w:rPr>
        <w:t xml:space="preserve">FAR (Federal Acquisition Regulation) compliance</w:t>
      </w:r>
    </w:p>
    <w:p>
      <w:pPr>
        <w:pStyle w:val="ListParagraph"/>
        <w:numPr>
          <w:ilvl w:val="0"/>
          <w:numId w:val="2"/>
        </w:numPr>
        <w:spacing w:after="80" w:before="0"/>
      </w:pPr>
      <w:r>
        <w:rPr>
          <w:rFonts w:ascii="Arial" w:cs="Arial" w:eastAsia="Arial" w:hAnsi="Arial"/>
          <w:b w:val="false"/>
          <w:bCs w:val="false"/>
          <w:color w:val="000000"/>
          <w:sz w:val="22"/>
          <w:szCs w:val="22"/>
        </w:rPr>
        <w:t xml:space="preserve">HIPAA data privacy and security requirements</w:t>
      </w:r>
    </w:p>
    <w:p>
      <w:pPr>
        <w:pStyle w:val="ListParagraph"/>
        <w:numPr>
          <w:ilvl w:val="0"/>
          <w:numId w:val="2"/>
        </w:numPr>
        <w:spacing w:after="80" w:before="0"/>
      </w:pPr>
      <w:r>
        <w:rPr>
          <w:rFonts w:ascii="Arial" w:cs="Arial" w:eastAsia="Arial" w:hAnsi="Arial"/>
          <w:b w:val="false"/>
          <w:bCs w:val="false"/>
          <w:color w:val="000000"/>
          <w:sz w:val="22"/>
          <w:szCs w:val="22"/>
        </w:rPr>
        <w:t xml:space="preserve">NIST SP 800-171 controls for Controlled Unclassified Information (CUI)</w:t>
      </w:r>
    </w:p>
    <w:p>
      <w:pPr>
        <w:pStyle w:val="ListParagraph"/>
        <w:numPr>
          <w:ilvl w:val="0"/>
          <w:numId w:val="2"/>
        </w:numPr>
        <w:spacing w:after="80" w:before="0"/>
      </w:pPr>
      <w:r>
        <w:rPr>
          <w:rFonts w:ascii="Arial" w:cs="Arial" w:eastAsia="Arial" w:hAnsi="Arial"/>
          <w:b w:val="false"/>
          <w:bCs w:val="false"/>
          <w:color w:val="000000"/>
          <w:sz w:val="22"/>
          <w:szCs w:val="22"/>
        </w:rPr>
        <w:t xml:space="preserve">Government confidentiality, integrity, and availability (CIA) standards</w:t>
      </w:r>
    </w:p>
    <w:p>
      <w:pPr>
        <w:spacing w:after="160" w:before="0"/>
      </w:pPr>
    </w:p>
    <w:p>
      <w:pPr>
        <w:pBdr>
          <w:bottom w:val="single" w:color="C8962B" w:sz="8"/>
        </w:pBdr>
        <w:spacing w:after="80" w:before="320"/>
      </w:pPr>
      <w:r>
        <w:rPr>
          <w:rFonts w:ascii="Arial" w:cs="Arial" w:eastAsia="Arial" w:hAnsi="Arial"/>
          <w:b/>
          <w:bCs/>
          <w:color w:val="C8962B"/>
          <w:sz w:val="28"/>
          <w:szCs w:val="28"/>
        </w:rPr>
        <w:t xml:space="preserve">04  </w:t>
      </w:r>
      <w:r>
        <w:rPr>
          <w:rFonts w:ascii="Arial" w:cs="Arial" w:eastAsia="Arial" w:hAnsi="Arial"/>
          <w:b/>
          <w:bCs/>
          <w:color w:val="1B2A4A"/>
          <w:sz w:val="28"/>
          <w:szCs w:val="28"/>
        </w:rPr>
        <w:t xml:space="preserve">Past Performance</w:t>
      </w:r>
    </w:p>
    <w:p>
      <w:pPr>
        <w:spacing w:after="80" w:before="0"/>
      </w:pPr>
    </w:p>
    <w:p>
      <w:pPr>
        <w:spacing w:after="120" w:before="0"/>
        <w:jc w:val="left"/>
      </w:pPr>
      <w:r>
        <w:rPr>
          <w:rFonts w:ascii="Arial" w:cs="Arial" w:eastAsia="Arial" w:hAnsi="Arial"/>
          <w:b w:val="false"/>
          <w:bCs w:val="false"/>
          <w:i w:val="false"/>
          <w:iCs w:val="false"/>
          <w:color w:val="000000"/>
          <w:sz w:val="22"/>
          <w:szCs w:val="22"/>
        </w:rPr>
        <w:t xml:space="preserve">DFEAL has delivered measurable results across three mission-critical performance areas directly relevant to this solicitation. The examples below demonstrate our ability to address operational challenges with structured, results-oriented solutions.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Performance Area</w:t>
            </w:r>
          </w:p>
        </w:tc>
        <w:tc>
          <w:tcPr>
            <w:tcW w:type="dxa" w:w="312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DFEAL Approach</w:t>
            </w:r>
          </w:p>
        </w:tc>
        <w:tc>
          <w:tcPr>
            <w:tcW w:type="dxa" w:w="312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Outcome / Relevance</w:t>
            </w:r>
          </w:p>
        </w:tc>
      </w:tr>
      <w:tr>
        <w:tc>
          <w:tcPr>
            <w:tcW w:type="dxa" w:w="312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sz w:val="20"/>
                <w:szCs w:val="20"/>
              </w:rPr>
              <w:t xml:space="preserve">Operational Efficiency &amp; Workflow Standardization</w:t>
            </w:r>
          </w:p>
        </w:tc>
        <w:tc>
          <w:tcPr>
            <w:tcW w:type="dxa" w:w="312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sz w:val="20"/>
                <w:szCs w:val="20"/>
              </w:rPr>
              <w:t xml:space="preserve">Implemented structured planning, role clarity, and repeatable reporting mechanisms across concurrent program tracks.</w:t>
            </w:r>
          </w:p>
        </w:tc>
        <w:tc>
          <w:tcPr>
            <w:tcW w:type="dxa" w:w="312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sz w:val="20"/>
                <w:szCs w:val="20"/>
              </w:rPr>
              <w:t xml:space="preserve">Reduced cycle time; increased on-time delivery; improved leadership visibility across simultaneous task areas.</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20"/>
                <w:szCs w:val="20"/>
              </w:rPr>
              <w:t xml:space="preserve">Data-Driven Decision Support &amp; Technical Modernization</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20"/>
                <w:szCs w:val="20"/>
              </w:rPr>
              <w:t xml:space="preserve">Designed an analytics solution incorporating key metrics dashboards, security compliance, and evidence synthesis workflows.</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20"/>
                <w:szCs w:val="20"/>
              </w:rPr>
              <w:t xml:space="preserve">Faster access to critical metrics; improved confidence in evidence-based decisions; data-driven resource allocation.</w:t>
            </w:r>
          </w:p>
        </w:tc>
      </w:tr>
      <w:tr>
        <w:tc>
          <w:tcPr>
            <w:tcW w:type="dxa" w:w="312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sz w:val="20"/>
                <w:szCs w:val="20"/>
              </w:rPr>
              <w:t xml:space="preserve">Workforce Enablement &amp; Knowledge Transfer</w:t>
            </w:r>
          </w:p>
        </w:tc>
        <w:tc>
          <w:tcPr>
            <w:tcW w:type="dxa" w:w="312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sz w:val="20"/>
                <w:szCs w:val="20"/>
              </w:rPr>
              <w:t xml:space="preserve">Delivered tailored training programs, reference materials, and continuous feedback mechanisms for process adoption.</w:t>
            </w:r>
          </w:p>
        </w:tc>
        <w:tc>
          <w:tcPr>
            <w:tcW w:type="dxa" w:w="312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sz w:val="20"/>
                <w:szCs w:val="20"/>
              </w:rPr>
              <w:t xml:space="preserve">Improved competency scores; increased user adoption rates; reduced operational bottlenecks and handoff delays.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20"/>
              <w:bottom w:val="single" w:color="C0392B" w:sz="8"/>
              <w:right w:val="single" w:color="C0392B" w:sz="8"/>
            </w:tcBorders>
            <w:shd w:fill="FDF3F3" w:val="clear"/>
            <w:tcMar>
              <w:top w:type="dxa" w:w="80"/>
              <w:left w:type="dxa" w:w="160"/>
              <w:bottom w:type="dxa" w:w="80"/>
              <w:right w:type="dxa" w:w="160"/>
            </w:tcMar>
          </w:tcPr>
          <w:p>
            <w:r>
              <w:rPr>
                <w:rFonts w:ascii="Arial" w:cs="Arial" w:eastAsia="Arial" w:hAnsi="Arial"/>
                <w:b/>
                <w:bCs/>
                <w:color w:val="C0392B"/>
                <w:sz w:val="20"/>
                <w:szCs w:val="20"/>
              </w:rPr>
              <w:t xml:space="preserve">⚠  REVIEWER NOTE: </w:t>
            </w:r>
            <w:r>
              <w:rPr>
                <w:rFonts w:ascii="Arial" w:cs="Arial" w:eastAsia="Arial" w:hAnsi="Arial"/>
                <w:color w:val="C0392B"/>
                <w:sz w:val="20"/>
                <w:szCs w:val="20"/>
              </w:rPr>
              <w:t xml:space="preserve">MISSING / WEAK: No client names, contract numbers, dollar values, or agency points of contact are referenced above. Most solicitations require verifiable past performance references with contract numbers, client names, POC contact information, and period of performance. Before submission, add at least 2–3 specific client references with full contact details. If DFEAL does not yet have completed federal contracts, consider citing relevant private-sector engagements and clearly labeling them as such, or including a teaming partner's past performance.</w:t>
            </w:r>
          </w:p>
        </w:tc>
      </w:tr>
    </w:tbl>
    <w:p>
      <w:pPr>
        <w:spacing w:after="160" w:before="0"/>
      </w:pPr>
    </w:p>
    <w:p>
      <w:pPr>
        <w:pBdr>
          <w:bottom w:val="single" w:color="C8962B" w:sz="8"/>
        </w:pBdr>
        <w:spacing w:after="80" w:before="320"/>
      </w:pPr>
      <w:r>
        <w:rPr>
          <w:rFonts w:ascii="Arial" w:cs="Arial" w:eastAsia="Arial" w:hAnsi="Arial"/>
          <w:b/>
          <w:bCs/>
          <w:color w:val="C8962B"/>
          <w:sz w:val="28"/>
          <w:szCs w:val="28"/>
        </w:rPr>
        <w:t xml:space="preserve">05  </w:t>
      </w:r>
      <w:r>
        <w:rPr>
          <w:rFonts w:ascii="Arial" w:cs="Arial" w:eastAsia="Arial" w:hAnsi="Arial"/>
          <w:b/>
          <w:bCs/>
          <w:color w:val="1B2A4A"/>
          <w:sz w:val="28"/>
          <w:szCs w:val="28"/>
        </w:rPr>
        <w:t xml:space="preserve">Key Personnel</w:t>
      </w:r>
    </w:p>
    <w:p>
      <w:pPr>
        <w:spacing w:after="80" w:before="0"/>
      </w:pPr>
    </w:p>
    <w:p>
      <w:pPr>
        <w:spacing w:after="120" w:before="0"/>
        <w:jc w:val="left"/>
      </w:pPr>
      <w:r>
        <w:rPr>
          <w:rFonts w:ascii="Arial" w:cs="Arial" w:eastAsia="Arial" w:hAnsi="Arial"/>
          <w:b w:val="false"/>
          <w:bCs w:val="false"/>
          <w:i w:val="false"/>
          <w:iCs w:val="false"/>
          <w:color w:val="000000"/>
          <w:sz w:val="22"/>
          <w:szCs w:val="22"/>
        </w:rPr>
        <w:t xml:space="preserve">DFEAL's multidisciplinary team combines scientific expertise, technical engineering, data analytics, and program management competencies. Key personnel assigned to this engagement include the following roles: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312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Role</w:t>
            </w:r>
          </w:p>
        </w:tc>
        <w:tc>
          <w:tcPr>
            <w:tcW w:type="dxa" w:w="312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Name / TBD</w:t>
            </w:r>
          </w:p>
        </w:tc>
        <w:tc>
          <w:tcPr>
            <w:tcW w:type="dxa" w:w="312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Qualifications &amp; Relevance</w:t>
            </w:r>
          </w:p>
        </w:tc>
      </w:tr>
      <w:tr>
        <w:tc>
          <w:tcPr>
            <w:tcW w:type="dxa" w:w="312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sz w:val="20"/>
                <w:szCs w:val="20"/>
              </w:rPr>
              <w:t xml:space="preserve">Program Manager</w:t>
            </w:r>
          </w:p>
        </w:tc>
        <w:tc>
          <w:tcPr>
            <w:tcW w:type="dxa" w:w="312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sz w:val="20"/>
                <w:szCs w:val="20"/>
              </w:rPr>
              <w:t xml:space="preserve">[Insert Name]</w:t>
            </w:r>
          </w:p>
        </w:tc>
        <w:tc>
          <w:tcPr>
            <w:tcW w:type="dxa" w:w="312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sz w:val="20"/>
                <w:szCs w:val="20"/>
              </w:rPr>
              <w:t xml:space="preserve">PMI-certified; experienced managing concurrent government program tracks with milestone accountability and risk management.</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20"/>
                <w:szCs w:val="20"/>
              </w:rPr>
              <w:t xml:space="preserve">Health IT Lead</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20"/>
                <w:szCs w:val="20"/>
              </w:rPr>
              <w:t xml:space="preserve">[Insert Name]</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20"/>
                <w:szCs w:val="20"/>
              </w:rPr>
              <w:t xml:space="preserve">Expert in AI/ML analytics platforms, HIPAA-compliant system architecture, and data dashboard implementation for federal clients.</w:t>
            </w:r>
          </w:p>
        </w:tc>
      </w:tr>
      <w:tr>
        <w:tc>
          <w:tcPr>
            <w:tcW w:type="dxa" w:w="312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sz w:val="20"/>
                <w:szCs w:val="20"/>
              </w:rPr>
              <w:t xml:space="preserve">Research &amp; Development Lead</w:t>
            </w:r>
          </w:p>
        </w:tc>
        <w:tc>
          <w:tcPr>
            <w:tcW w:type="dxa" w:w="312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sz w:val="20"/>
                <w:szCs w:val="20"/>
              </w:rPr>
              <w:t xml:space="preserve">[Insert Name]</w:t>
            </w:r>
          </w:p>
        </w:tc>
        <w:tc>
          <w:tcPr>
            <w:tcW w:type="dxa" w:w="312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sz w:val="20"/>
                <w:szCs w:val="20"/>
              </w:rPr>
              <w:t xml:space="preserve">Advanced background in biomedical sciences, clinical systems, and evidence-based analytical frameworks.</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20"/>
                <w:szCs w:val="20"/>
              </w:rPr>
              <w:t xml:space="preserve">Training &amp; Capacity Lead</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20"/>
                <w:szCs w:val="20"/>
              </w:rPr>
              <w:t xml:space="preserve">[Insert Name]</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20"/>
                <w:szCs w:val="20"/>
              </w:rPr>
              <w:t xml:space="preserve">Specializes in adult learning design, government workforce onboarding, and process adoption measurement.</w:t>
            </w:r>
          </w:p>
        </w:tc>
      </w:tr>
      <w:tr>
        <w:tc>
          <w:tcPr>
            <w:tcW w:type="dxa" w:w="312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sz w:val="20"/>
                <w:szCs w:val="20"/>
              </w:rPr>
              <w:t xml:space="preserve">Compliance &amp; Quality Assurance Officer</w:t>
            </w:r>
          </w:p>
        </w:tc>
        <w:tc>
          <w:tcPr>
            <w:tcW w:type="dxa" w:w="312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sz w:val="20"/>
                <w:szCs w:val="20"/>
              </w:rPr>
              <w:t xml:space="preserve">[Insert Name]</w:t>
            </w:r>
          </w:p>
        </w:tc>
        <w:tc>
          <w:tcPr>
            <w:tcW w:type="dxa" w:w="312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sz w:val="20"/>
                <w:szCs w:val="20"/>
              </w:rPr>
              <w:t xml:space="preserve">Responsible for maintaining NIST, FAR, and HIPAA compliance across all deliverables; manages risk registers and QA checklists.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20"/>
              <w:bottom w:val="single" w:color="C0392B" w:sz="8"/>
              <w:right w:val="single" w:color="C0392B" w:sz="8"/>
            </w:tcBorders>
            <w:shd w:fill="FDF3F3" w:val="clear"/>
            <w:tcMar>
              <w:top w:type="dxa" w:w="80"/>
              <w:left w:type="dxa" w:w="160"/>
              <w:bottom w:type="dxa" w:w="80"/>
              <w:right w:type="dxa" w:w="160"/>
            </w:tcMar>
          </w:tcPr>
          <w:p>
            <w:r>
              <w:rPr>
                <w:rFonts w:ascii="Arial" w:cs="Arial" w:eastAsia="Arial" w:hAnsi="Arial"/>
                <w:b/>
                <w:bCs/>
                <w:color w:val="C0392B"/>
                <w:sz w:val="20"/>
                <w:szCs w:val="20"/>
              </w:rPr>
              <w:t xml:space="preserve">⚠  REVIEWER NOTE: </w:t>
            </w:r>
            <w:r>
              <w:rPr>
                <w:rFonts w:ascii="Arial" w:cs="Arial" w:eastAsia="Arial" w:hAnsi="Arial"/>
                <w:color w:val="C0392B"/>
                <w:sz w:val="20"/>
                <w:szCs w:val="20"/>
              </w:rPr>
              <w:t xml:space="preserve">ACTION REQUIRED: Replace all '[Insert Name]' placeholders with actual names, titles, and credential details. Include resumes or abbreviated CVs as an attachment if required by the solicitation. Many RFPs require personnel commitment letters confirming availability. Verify whether CTA requires specific certifications (e.g., PMP, CISM, specific clearance levels) for any role.</w:t>
            </w:r>
          </w:p>
        </w:tc>
      </w:tr>
    </w:tbl>
    <w:p>
      <w:pPr>
        <w:spacing w:after="160" w:before="0"/>
      </w:pPr>
    </w:p>
    <w:p>
      <w:pPr>
        <w:pBdr>
          <w:bottom w:val="single" w:color="C8962B" w:sz="8"/>
        </w:pBdr>
        <w:spacing w:after="80" w:before="320"/>
      </w:pPr>
      <w:r>
        <w:rPr>
          <w:rFonts w:ascii="Arial" w:cs="Arial" w:eastAsia="Arial" w:hAnsi="Arial"/>
          <w:b/>
          <w:bCs/>
          <w:color w:val="C8962B"/>
          <w:sz w:val="28"/>
          <w:szCs w:val="28"/>
        </w:rPr>
        <w:t xml:space="preserve">06  </w:t>
      </w:r>
      <w:r>
        <w:rPr>
          <w:rFonts w:ascii="Arial" w:cs="Arial" w:eastAsia="Arial" w:hAnsi="Arial"/>
          <w:b/>
          <w:bCs/>
          <w:color w:val="1B2A4A"/>
          <w:sz w:val="28"/>
          <w:szCs w:val="28"/>
        </w:rPr>
        <w:t xml:space="preserve">Partnership Benefits &amp; Differentiators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olor w:val="FFFFFF"/>
                <w:sz w:val="22"/>
                <w:szCs w:val="22"/>
              </w:rPr>
              <w:t xml:space="preserve">Why DFEAL — Four Differentiators</w:t>
            </w:r>
          </w:p>
        </w:tc>
      </w:tr>
      <w:tr>
        <w:tc>
          <w:tcPr>
            <w:tcW w:type="dxa" w:w="9360"/>
            <w:tcBorders>
              <w:top w:val="none" w:color="FFFFFF" w:sz="0"/>
              <w:left w:val="single" w:color="C8962B" w:sz="8"/>
              <w:bottom w:val="single" w:color="DDDDDD" w:sz="2"/>
              <w:right w:val="none" w:color="FFFFFF" w:sz="0"/>
            </w:tcBorders>
            <w:shd w:fill="EEF2F7" w:val="clear"/>
            <w:tcMar>
              <w:top w:type="dxa" w:w="60"/>
              <w:left w:type="dxa" w:w="200"/>
              <w:bottom w:type="dxa" w:w="60"/>
              <w:right w:type="dxa" w:w="160"/>
            </w:tcMar>
          </w:tcPr>
          <w:p>
            <w:r>
              <w:rPr>
                <w:rFonts w:ascii="Arial" w:cs="Arial" w:eastAsia="Arial" w:hAnsi="Arial"/>
                <w:color w:val="111111"/>
                <w:sz w:val="21"/>
                <w:szCs w:val="21"/>
              </w:rPr>
              <w:t xml:space="preserve">Integrated R&amp;D + IT Expertise — Unique fusion of science, engineering, and technology innovation under one team.</w:t>
            </w:r>
          </w:p>
        </w:tc>
      </w:tr>
      <w:tr>
        <w:tc>
          <w:tcPr>
            <w:tcW w:type="dxa" w:w="9360"/>
            <w:tcBorders>
              <w:top w:val="none" w:color="FFFFFF" w:sz="0"/>
              <w:left w:val="single" w:color="C8962B" w:sz="8"/>
              <w:bottom w:val="single" w:color="DDDDDD" w:sz="2"/>
              <w:right w:val="none" w:color="FFFFFF" w:sz="0"/>
            </w:tcBorders>
            <w:shd w:fill="EEF2F7" w:val="clear"/>
            <w:tcMar>
              <w:top w:type="dxa" w:w="60"/>
              <w:left w:type="dxa" w:w="200"/>
              <w:bottom w:type="dxa" w:w="60"/>
              <w:right w:type="dxa" w:w="160"/>
            </w:tcMar>
          </w:tcPr>
          <w:p>
            <w:r>
              <w:rPr>
                <w:rFonts w:ascii="Arial" w:cs="Arial" w:eastAsia="Arial" w:hAnsi="Arial"/>
                <w:color w:val="111111"/>
                <w:sz w:val="21"/>
                <w:szCs w:val="21"/>
              </w:rPr>
              <w:t xml:space="preserve">Federal Compliance by Design — FAR, HIPAA, and NIST SP 800-171 compliance built into every solution from the start.</w:t>
            </w:r>
          </w:p>
        </w:tc>
      </w:tr>
      <w:tr>
        <w:tc>
          <w:tcPr>
            <w:tcW w:type="dxa" w:w="9360"/>
            <w:tcBorders>
              <w:top w:val="none" w:color="FFFFFF" w:sz="0"/>
              <w:left w:val="single" w:color="C8962B" w:sz="8"/>
              <w:bottom w:val="single" w:color="DDDDDD" w:sz="2"/>
              <w:right w:val="none" w:color="FFFFFF" w:sz="0"/>
            </w:tcBorders>
            <w:shd w:fill="EEF2F7" w:val="clear"/>
            <w:tcMar>
              <w:top w:type="dxa" w:w="60"/>
              <w:left w:type="dxa" w:w="200"/>
              <w:bottom w:type="dxa" w:w="60"/>
              <w:right w:type="dxa" w:w="160"/>
            </w:tcMar>
          </w:tcPr>
          <w:p>
            <w:r>
              <w:rPr>
                <w:rFonts w:ascii="Arial" w:cs="Arial" w:eastAsia="Arial" w:hAnsi="Arial"/>
                <w:color w:val="111111"/>
                <w:sz w:val="21"/>
                <w:szCs w:val="21"/>
              </w:rPr>
              <w:t xml:space="preserve">Agile &amp; Responsive Delivery — Rapid adaptation to evolving requirements, surge work, and shifting mission priorities.</w:t>
            </w:r>
          </w:p>
        </w:tc>
      </w:tr>
      <w:tr>
        <w:tc>
          <w:tcPr>
            <w:tcW w:type="dxa" w:w="9360"/>
            <w:tcBorders>
              <w:top w:val="none" w:color="FFFFFF" w:sz="0"/>
              <w:left w:val="single" w:color="C8962B" w:sz="8"/>
              <w:bottom w:val="single" w:color="DDDDDD" w:sz="2"/>
              <w:right w:val="none" w:color="FFFFFF" w:sz="0"/>
            </w:tcBorders>
            <w:shd w:fill="EEF2F7" w:val="clear"/>
            <w:tcMar>
              <w:top w:type="dxa" w:w="60"/>
              <w:left w:type="dxa" w:w="200"/>
              <w:bottom w:type="dxa" w:w="60"/>
              <w:right w:type="dxa" w:w="160"/>
            </w:tcMar>
          </w:tcPr>
          <w:p>
            <w:r>
              <w:rPr>
                <w:rFonts w:ascii="Arial" w:cs="Arial" w:eastAsia="Arial" w:hAnsi="Arial"/>
                <w:color w:val="111111"/>
                <w:sz w:val="21"/>
                <w:szCs w:val="21"/>
              </w:rPr>
              <w:t xml:space="preserve">Outcome-Oriented Project Management — Robust tracking of schedule, budget, and performance with full client visibility.</w:t>
            </w:r>
          </w:p>
        </w:tc>
      </w:tr>
    </w:tbl>
    <w:p>
      <w:pPr>
        <w:spacing w:after="120" w:before="0"/>
      </w:pPr>
    </w:p>
    <w:p>
      <w:pPr>
        <w:spacing w:after="120" w:before="0"/>
        <w:jc w:val="left"/>
      </w:pPr>
      <w:r>
        <w:rPr>
          <w:rFonts w:ascii="Arial" w:cs="Arial" w:eastAsia="Arial" w:hAnsi="Arial"/>
          <w:b w:val="false"/>
          <w:bCs w:val="false"/>
          <w:i w:val="false"/>
          <w:iCs w:val="false"/>
          <w:color w:val="555555"/>
          <w:sz w:val="22"/>
          <w:szCs w:val="22"/>
        </w:rPr>
        <w:t xml:space="preserve">DFEAL functions as a strategic subcontractor and teaming partner, offering prime contractors the ability to expand capacity, reduce delivery risk, and demonstrate small business participation. We are available to support both prime and subcontractor roles depending on the structure of this solicitation.</w:t>
      </w:r>
    </w:p>
    <w:p>
      <w:pPr>
        <w:spacing w:after="160" w:before="0"/>
      </w:pPr>
    </w:p>
    <w:p>
      <w:pPr>
        <w:pBdr>
          <w:bottom w:val="single" w:color="C8962B" w:sz="8"/>
        </w:pBdr>
        <w:spacing w:after="80" w:before="320"/>
      </w:pPr>
      <w:r>
        <w:rPr>
          <w:rFonts w:ascii="Arial" w:cs="Arial" w:eastAsia="Arial" w:hAnsi="Arial"/>
          <w:b/>
          <w:bCs/>
          <w:color w:val="C8962B"/>
          <w:sz w:val="28"/>
          <w:szCs w:val="28"/>
        </w:rPr>
        <w:t xml:space="preserve">07  </w:t>
      </w:r>
      <w:r>
        <w:rPr>
          <w:rFonts w:ascii="Arial" w:cs="Arial" w:eastAsia="Arial" w:hAnsi="Arial"/>
          <w:b/>
          <w:bCs/>
          <w:color w:val="1B2A4A"/>
          <w:sz w:val="28"/>
          <w:szCs w:val="28"/>
        </w:rPr>
        <w:t xml:space="preserve">Risk Management &amp; Quality Assurance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Risk Management</w:t>
            </w:r>
          </w:p>
        </w:tc>
        <w:tc>
          <w:tcPr>
            <w:tcW w:type="dxa" w:w="312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Quality Assurance</w:t>
            </w:r>
          </w:p>
        </w:tc>
        <w:tc>
          <w:tcPr>
            <w:tcW w:type="dxa" w:w="312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Security &amp; Compliance</w:t>
            </w:r>
          </w:p>
        </w:tc>
      </w:tr>
      <w:tr>
        <w:tc>
          <w:tcPr>
            <w:tcW w:type="dxa" w:w="312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80"/>
            </w:tcMar>
          </w:tcPr>
          <w:p>
            <w:pPr>
              <w:pStyle w:val="ListParagraph"/>
              <w:numPr>
                <w:ilvl w:val="0"/>
                <w:numId w:val="2"/>
              </w:numPr>
              <w:spacing w:after="60"/>
            </w:pPr>
            <w:r>
              <w:rPr>
                <w:rFonts w:ascii="Arial" w:cs="Arial" w:eastAsia="Arial" w:hAnsi="Arial"/>
                <w:sz w:val="20"/>
                <w:szCs w:val="20"/>
              </w:rPr>
              <w:t xml:space="preserve">Early identification across schedule, scope, technical, and resource dimensions</w:t>
            </w:r>
          </w:p>
          <w:p>
            <w:pPr>
              <w:pStyle w:val="ListParagraph"/>
              <w:numPr>
                <w:ilvl w:val="0"/>
                <w:numId w:val="2"/>
              </w:numPr>
              <w:spacing w:after="60"/>
            </w:pPr>
            <w:r>
              <w:rPr>
                <w:rFonts w:ascii="Arial" w:cs="Arial" w:eastAsia="Arial" w:hAnsi="Arial"/>
                <w:sz w:val="20"/>
                <w:szCs w:val="20"/>
              </w:rPr>
              <w:t xml:space="preserve">Structured risk registers with prioritized action plans</w:t>
            </w:r>
          </w:p>
          <w:p>
            <w:pPr>
              <w:pStyle w:val="ListParagraph"/>
              <w:numPr>
                <w:ilvl w:val="0"/>
                <w:numId w:val="2"/>
              </w:numPr>
              <w:spacing w:after="60"/>
            </w:pPr>
            <w:r>
              <w:rPr>
                <w:rFonts w:ascii="Arial" w:cs="Arial" w:eastAsia="Arial" w:hAnsi="Arial"/>
                <w:sz w:val="20"/>
                <w:szCs w:val="20"/>
              </w:rPr>
              <w:t xml:space="preserve">Transparent escalation protocols to client leadership</w:t>
            </w:r>
          </w:p>
        </w:tc>
        <w:tc>
          <w:tcPr>
            <w:tcW w:type="dxa" w:w="312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80"/>
            </w:tcMar>
          </w:tcPr>
          <w:p>
            <w:pPr>
              <w:pStyle w:val="ListParagraph"/>
              <w:numPr>
                <w:ilvl w:val="0"/>
                <w:numId w:val="2"/>
              </w:numPr>
              <w:spacing w:after="60"/>
            </w:pPr>
            <w:r>
              <w:rPr>
                <w:rFonts w:ascii="Arial" w:cs="Arial" w:eastAsia="Arial" w:hAnsi="Arial"/>
                <w:sz w:val="20"/>
                <w:szCs w:val="20"/>
              </w:rPr>
              <w:t xml:space="preserve">Defined milestones, acceptance criteria, and quality checklists</w:t>
            </w:r>
          </w:p>
          <w:p>
            <w:pPr>
              <w:pStyle w:val="ListParagraph"/>
              <w:numPr>
                <w:ilvl w:val="0"/>
                <w:numId w:val="2"/>
              </w:numPr>
              <w:spacing w:after="60"/>
            </w:pPr>
            <w:r>
              <w:rPr>
                <w:rFonts w:ascii="Arial" w:cs="Arial" w:eastAsia="Arial" w:hAnsi="Arial"/>
                <w:sz w:val="20"/>
                <w:szCs w:val="20"/>
              </w:rPr>
              <w:t xml:space="preserve">Regular progress reviews and post-milestone retrospectives</w:t>
            </w:r>
          </w:p>
          <w:p>
            <w:pPr>
              <w:pStyle w:val="ListParagraph"/>
              <w:numPr>
                <w:ilvl w:val="0"/>
                <w:numId w:val="2"/>
              </w:numPr>
              <w:spacing w:after="60"/>
            </w:pPr>
            <w:r>
              <w:rPr>
                <w:rFonts w:ascii="Arial" w:cs="Arial" w:eastAsia="Arial" w:hAnsi="Arial"/>
                <w:sz w:val="20"/>
                <w:szCs w:val="20"/>
              </w:rPr>
              <w:t xml:space="preserve">Aligned expectations between DFEAL, prime (if applicable), and end customer</w:t>
            </w:r>
          </w:p>
        </w:tc>
        <w:tc>
          <w:tcPr>
            <w:tcW w:type="dxa" w:w="312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80"/>
            </w:tcMar>
          </w:tcPr>
          <w:p>
            <w:pPr>
              <w:pStyle w:val="ListParagraph"/>
              <w:numPr>
                <w:ilvl w:val="0"/>
                <w:numId w:val="2"/>
              </w:numPr>
              <w:spacing w:after="60"/>
            </w:pPr>
            <w:r>
              <w:rPr>
                <w:rFonts w:ascii="Arial" w:cs="Arial" w:eastAsia="Arial" w:hAnsi="Arial"/>
                <w:sz w:val="20"/>
                <w:szCs w:val="20"/>
              </w:rPr>
              <w:t xml:space="preserve">Security-first architecture aligned with NIST SP 800-171 controls</w:t>
            </w:r>
          </w:p>
          <w:p>
            <w:pPr>
              <w:pStyle w:val="ListParagraph"/>
              <w:numPr>
                <w:ilvl w:val="0"/>
                <w:numId w:val="2"/>
              </w:numPr>
              <w:spacing w:after="60"/>
            </w:pPr>
            <w:r>
              <w:rPr>
                <w:rFonts w:ascii="Arial" w:cs="Arial" w:eastAsia="Arial" w:hAnsi="Arial"/>
                <w:sz w:val="20"/>
                <w:szCs w:val="20"/>
              </w:rPr>
              <w:t xml:space="preserve">Protection of sensitive data and mission-critical systems</w:t>
            </w:r>
          </w:p>
          <w:p>
            <w:pPr>
              <w:pStyle w:val="ListParagraph"/>
              <w:numPr>
                <w:ilvl w:val="0"/>
                <w:numId w:val="2"/>
              </w:numPr>
              <w:spacing w:after="60"/>
            </w:pPr>
            <w:r>
              <w:rPr>
                <w:rFonts w:ascii="Arial" w:cs="Arial" w:eastAsia="Arial" w:hAnsi="Arial"/>
                <w:sz w:val="20"/>
                <w:szCs w:val="20"/>
              </w:rPr>
              <w:t xml:space="preserve">Government CIA (Confidentiality, Integrity, Availability) standards applied</w:t>
            </w:r>
          </w:p>
        </w:tc>
      </w:tr>
    </w:tbl>
    <w:p>
      <w:pPr>
        <w:spacing w:after="160" w:before="0"/>
      </w:pPr>
    </w:p>
    <w:p>
      <w:pPr>
        <w:pBdr>
          <w:bottom w:val="single" w:color="C8962B" w:sz="8"/>
        </w:pBdr>
        <w:spacing w:after="80" w:before="320"/>
      </w:pPr>
      <w:r>
        <w:rPr>
          <w:rFonts w:ascii="Arial" w:cs="Arial" w:eastAsia="Arial" w:hAnsi="Arial"/>
          <w:b/>
          <w:bCs/>
          <w:color w:val="C8962B"/>
          <w:sz w:val="28"/>
          <w:szCs w:val="28"/>
        </w:rPr>
        <w:t xml:space="preserve">08  </w:t>
      </w:r>
      <w:r>
        <w:rPr>
          <w:rFonts w:ascii="Arial" w:cs="Arial" w:eastAsia="Arial" w:hAnsi="Arial"/>
          <w:b/>
          <w:bCs/>
          <w:color w:val="1B2A4A"/>
          <w:sz w:val="28"/>
          <w:szCs w:val="28"/>
        </w:rPr>
        <w:t xml:space="preserve">Pre-Submission Checklist — Missing Requirements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20"/>
              <w:bottom w:val="single" w:color="C0392B" w:sz="8"/>
              <w:right w:val="single" w:color="C0392B" w:sz="8"/>
            </w:tcBorders>
            <w:shd w:fill="FDF3F3" w:val="clear"/>
            <w:tcMar>
              <w:top w:type="dxa" w:w="80"/>
              <w:left w:type="dxa" w:w="160"/>
              <w:bottom w:type="dxa" w:w="80"/>
              <w:right w:type="dxa" w:w="160"/>
            </w:tcMar>
          </w:tcPr>
          <w:p>
            <w:r>
              <w:rPr>
                <w:rFonts w:ascii="Arial" w:cs="Arial" w:eastAsia="Arial" w:hAnsi="Arial"/>
                <w:b/>
                <w:bCs/>
                <w:color w:val="C0392B"/>
                <w:sz w:val="20"/>
                <w:szCs w:val="20"/>
              </w:rPr>
              <w:t xml:space="preserve">⚠  REVIEWER NOTE: </w:t>
            </w:r>
            <w:r>
              <w:rPr>
                <w:rFonts w:ascii="Arial" w:cs="Arial" w:eastAsia="Arial" w:hAnsi="Arial"/>
                <w:color w:val="C0392B"/>
                <w:sz w:val="20"/>
                <w:szCs w:val="20"/>
              </w:rPr>
              <w:t xml:space="preserve">This section is for internal review only. Remove before submitting the final proposal to CTA.</w:t>
            </w:r>
          </w:p>
        </w:tc>
      </w:tr>
    </w:tbl>
    <w:p>
      <w:pPr>
        <w:spacing w:after="120" w:before="0"/>
      </w:pPr>
    </w:p>
    <w:p>
      <w:pPr>
        <w:spacing w:after="120" w:before="0"/>
        <w:jc w:val="left"/>
      </w:pPr>
      <w:r>
        <w:rPr>
          <w:rFonts w:ascii="Arial" w:cs="Arial" w:eastAsia="Arial" w:hAnsi="Arial"/>
          <w:b/>
          <w:bCs/>
          <w:i w:val="false"/>
          <w:iCs w:val="false"/>
          <w:color w:val="000000"/>
          <w:sz w:val="22"/>
          <w:szCs w:val="22"/>
        </w:rPr>
        <w:t xml:space="preserve">Review each item below and resolve before submission: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olor w:val="FFFFFF"/>
                <w:sz w:val="22"/>
                <w:szCs w:val="22"/>
              </w:rPr>
              <w:t xml:space="preserve">⚠  Items to Verify &amp; Complete</w:t>
            </w:r>
          </w:p>
        </w:tc>
      </w:tr>
      <w:tr>
        <w:tc>
          <w:tcPr>
            <w:tcW w:type="dxa" w:w="9360"/>
            <w:tcBorders>
              <w:top w:val="none" w:color="FFFFFF" w:sz="0"/>
              <w:left w:val="single" w:color="C8962B" w:sz="8"/>
              <w:bottom w:val="single" w:color="DDDDDD" w:sz="2"/>
              <w:right w:val="none" w:color="FFFFFF" w:sz="0"/>
            </w:tcBorders>
            <w:shd w:fill="FDF3F3" w:val="clear"/>
            <w:tcMar>
              <w:top w:type="dxa" w:w="60"/>
              <w:left w:type="dxa" w:w="200"/>
              <w:bottom w:type="dxa" w:w="60"/>
              <w:right w:type="dxa" w:w="160"/>
            </w:tcMar>
          </w:tcPr>
          <w:p>
            <w:r>
              <w:rPr>
                <w:rFonts w:ascii="Arial" w:cs="Arial" w:eastAsia="Arial" w:hAnsi="Arial"/>
                <w:color w:val="111111"/>
                <w:sz w:val="21"/>
                <w:szCs w:val="21"/>
              </w:rPr>
              <w:t xml:space="preserve">[ ] Download full solicitation package from Bonfire portal and read all instructions carefully.</w:t>
            </w:r>
          </w:p>
        </w:tc>
      </w:tr>
      <w:tr>
        <w:tc>
          <w:tcPr>
            <w:tcW w:type="dxa" w:w="9360"/>
            <w:tcBorders>
              <w:top w:val="none" w:color="FFFFFF" w:sz="0"/>
              <w:left w:val="single" w:color="C8962B" w:sz="8"/>
              <w:bottom w:val="single" w:color="DDDDDD" w:sz="2"/>
              <w:right w:val="none" w:color="FFFFFF" w:sz="0"/>
            </w:tcBorders>
            <w:shd w:fill="FDF3F3" w:val="clear"/>
            <w:tcMar>
              <w:top w:type="dxa" w:w="60"/>
              <w:left w:type="dxa" w:w="200"/>
              <w:bottom w:type="dxa" w:w="60"/>
              <w:right w:type="dxa" w:w="160"/>
            </w:tcMar>
          </w:tcPr>
          <w:p>
            <w:r>
              <w:rPr>
                <w:rFonts w:ascii="Arial" w:cs="Arial" w:eastAsia="Arial" w:hAnsi="Arial"/>
                <w:color w:val="111111"/>
                <w:sz w:val="21"/>
                <w:szCs w:val="21"/>
              </w:rPr>
              <w:t xml:space="preserve">[ ] Confirm submission deadline, format (PDF, Word, portal upload), and page limits.</w:t>
            </w:r>
          </w:p>
        </w:tc>
      </w:tr>
      <w:tr>
        <w:tc>
          <w:tcPr>
            <w:tcW w:type="dxa" w:w="9360"/>
            <w:tcBorders>
              <w:top w:val="none" w:color="FFFFFF" w:sz="0"/>
              <w:left w:val="single" w:color="C8962B" w:sz="8"/>
              <w:bottom w:val="single" w:color="DDDDDD" w:sz="2"/>
              <w:right w:val="none" w:color="FFFFFF" w:sz="0"/>
            </w:tcBorders>
            <w:shd w:fill="FDF3F3" w:val="clear"/>
            <w:tcMar>
              <w:top w:type="dxa" w:w="60"/>
              <w:left w:type="dxa" w:w="200"/>
              <w:bottom w:type="dxa" w:w="60"/>
              <w:right w:type="dxa" w:w="160"/>
            </w:tcMar>
          </w:tcPr>
          <w:p>
            <w:r>
              <w:rPr>
                <w:rFonts w:ascii="Arial" w:cs="Arial" w:eastAsia="Arial" w:hAnsi="Arial"/>
                <w:color w:val="111111"/>
                <w:sz w:val="21"/>
                <w:szCs w:val="21"/>
              </w:rPr>
              <w:t xml:space="preserve">[ ] Verify required forms: DBE participation plan, insurance certificates, conflict of interest disclosures.</w:t>
            </w:r>
          </w:p>
        </w:tc>
      </w:tr>
      <w:tr>
        <w:tc>
          <w:tcPr>
            <w:tcW w:type="dxa" w:w="9360"/>
            <w:tcBorders>
              <w:top w:val="none" w:color="FFFFFF" w:sz="0"/>
              <w:left w:val="single" w:color="C8962B" w:sz="8"/>
              <w:bottom w:val="single" w:color="DDDDDD" w:sz="2"/>
              <w:right w:val="none" w:color="FFFFFF" w:sz="0"/>
            </w:tcBorders>
            <w:shd w:fill="FDF3F3" w:val="clear"/>
            <w:tcMar>
              <w:top w:type="dxa" w:w="60"/>
              <w:left w:type="dxa" w:w="200"/>
              <w:bottom w:type="dxa" w:w="60"/>
              <w:right w:type="dxa" w:w="160"/>
            </w:tcMar>
          </w:tcPr>
          <w:p>
            <w:r>
              <w:rPr>
                <w:rFonts w:ascii="Arial" w:cs="Arial" w:eastAsia="Arial" w:hAnsi="Arial"/>
                <w:color w:val="111111"/>
                <w:sz w:val="21"/>
                <w:szCs w:val="21"/>
              </w:rPr>
              <w:t xml:space="preserve">[ ] Confirm whether a price/cost volume is required and add a separate pricing section if so.</w:t>
            </w:r>
          </w:p>
        </w:tc>
      </w:tr>
      <w:tr>
        <w:tc>
          <w:tcPr>
            <w:tcW w:type="dxa" w:w="9360"/>
            <w:tcBorders>
              <w:top w:val="none" w:color="FFFFFF" w:sz="0"/>
              <w:left w:val="single" w:color="C8962B" w:sz="8"/>
              <w:bottom w:val="single" w:color="DDDDDD" w:sz="2"/>
              <w:right w:val="none" w:color="FFFFFF" w:sz="0"/>
            </w:tcBorders>
            <w:shd w:fill="FDF3F3" w:val="clear"/>
            <w:tcMar>
              <w:top w:type="dxa" w:w="60"/>
              <w:left w:type="dxa" w:w="200"/>
              <w:bottom w:type="dxa" w:w="60"/>
              <w:right w:type="dxa" w:w="160"/>
            </w:tcMar>
          </w:tcPr>
          <w:p>
            <w:r>
              <w:rPr>
                <w:rFonts w:ascii="Arial" w:cs="Arial" w:eastAsia="Arial" w:hAnsi="Arial"/>
                <w:color w:val="111111"/>
                <w:sz w:val="21"/>
                <w:szCs w:val="21"/>
              </w:rPr>
              <w:t xml:space="preserve">[ ] Add verifiable past performance references: client name, contract #, POC name/phone/email, period of performance, dollar value.</w:t>
            </w:r>
          </w:p>
        </w:tc>
      </w:tr>
      <w:tr>
        <w:tc>
          <w:tcPr>
            <w:tcW w:type="dxa" w:w="9360"/>
            <w:tcBorders>
              <w:top w:val="none" w:color="FFFFFF" w:sz="0"/>
              <w:left w:val="single" w:color="C8962B" w:sz="8"/>
              <w:bottom w:val="single" w:color="DDDDDD" w:sz="2"/>
              <w:right w:val="none" w:color="FFFFFF" w:sz="0"/>
            </w:tcBorders>
            <w:shd w:fill="FDF3F3" w:val="clear"/>
            <w:tcMar>
              <w:top w:type="dxa" w:w="60"/>
              <w:left w:type="dxa" w:w="200"/>
              <w:bottom w:type="dxa" w:w="60"/>
              <w:right w:type="dxa" w:w="160"/>
            </w:tcMar>
          </w:tcPr>
          <w:p>
            <w:r>
              <w:rPr>
                <w:rFonts w:ascii="Arial" w:cs="Arial" w:eastAsia="Arial" w:hAnsi="Arial"/>
                <w:color w:val="111111"/>
                <w:sz w:val="21"/>
                <w:szCs w:val="21"/>
              </w:rPr>
              <w:t xml:space="preserve">[ ] Replace all '[Insert Name]' personnel placeholders with actual staff names, titles, and credentials.</w:t>
            </w:r>
          </w:p>
        </w:tc>
      </w:tr>
      <w:tr>
        <w:tc>
          <w:tcPr>
            <w:tcW w:type="dxa" w:w="9360"/>
            <w:tcBorders>
              <w:top w:val="none" w:color="FFFFFF" w:sz="0"/>
              <w:left w:val="single" w:color="C8962B" w:sz="8"/>
              <w:bottom w:val="single" w:color="DDDDDD" w:sz="2"/>
              <w:right w:val="none" w:color="FFFFFF" w:sz="0"/>
            </w:tcBorders>
            <w:shd w:fill="FDF3F3" w:val="clear"/>
            <w:tcMar>
              <w:top w:type="dxa" w:w="60"/>
              <w:left w:type="dxa" w:w="200"/>
              <w:bottom w:type="dxa" w:w="60"/>
              <w:right w:type="dxa" w:w="160"/>
            </w:tcMar>
          </w:tcPr>
          <w:p>
            <w:r>
              <w:rPr>
                <w:rFonts w:ascii="Arial" w:cs="Arial" w:eastAsia="Arial" w:hAnsi="Arial"/>
                <w:color w:val="111111"/>
                <w:sz w:val="21"/>
                <w:szCs w:val="21"/>
              </w:rPr>
              <w:t xml:space="preserve">[ ] Attach resumes or abbreviated CVs for all key personnel if required.</w:t>
            </w:r>
          </w:p>
        </w:tc>
      </w:tr>
      <w:tr>
        <w:tc>
          <w:tcPr>
            <w:tcW w:type="dxa" w:w="9360"/>
            <w:tcBorders>
              <w:top w:val="none" w:color="FFFFFF" w:sz="0"/>
              <w:left w:val="single" w:color="C8962B" w:sz="8"/>
              <w:bottom w:val="single" w:color="DDDDDD" w:sz="2"/>
              <w:right w:val="none" w:color="FFFFFF" w:sz="0"/>
            </w:tcBorders>
            <w:shd w:fill="FDF3F3" w:val="clear"/>
            <w:tcMar>
              <w:top w:type="dxa" w:w="60"/>
              <w:left w:type="dxa" w:w="200"/>
              <w:bottom w:type="dxa" w:w="60"/>
              <w:right w:type="dxa" w:w="160"/>
            </w:tcMar>
          </w:tcPr>
          <w:p>
            <w:r>
              <w:rPr>
                <w:rFonts w:ascii="Arial" w:cs="Arial" w:eastAsia="Arial" w:hAnsi="Arial"/>
                <w:color w:val="111111"/>
                <w:sz w:val="21"/>
                <w:szCs w:val="21"/>
              </w:rPr>
              <w:t xml:space="preserve">[ ] Confirm whether this is a prime or subcontractor opportunity; adjust positioning accordingly.</w:t>
            </w:r>
          </w:p>
        </w:tc>
      </w:tr>
      <w:tr>
        <w:tc>
          <w:tcPr>
            <w:tcW w:type="dxa" w:w="9360"/>
            <w:tcBorders>
              <w:top w:val="none" w:color="FFFFFF" w:sz="0"/>
              <w:left w:val="single" w:color="C8962B" w:sz="8"/>
              <w:bottom w:val="single" w:color="DDDDDD" w:sz="2"/>
              <w:right w:val="none" w:color="FFFFFF" w:sz="0"/>
            </w:tcBorders>
            <w:shd w:fill="FDF3F3" w:val="clear"/>
            <w:tcMar>
              <w:top w:type="dxa" w:w="60"/>
              <w:left w:type="dxa" w:w="200"/>
              <w:bottom w:type="dxa" w:w="60"/>
              <w:right w:type="dxa" w:w="160"/>
            </w:tcMar>
          </w:tcPr>
          <w:p>
            <w:r>
              <w:rPr>
                <w:rFonts w:ascii="Arial" w:cs="Arial" w:eastAsia="Arial" w:hAnsi="Arial"/>
                <w:color w:val="111111"/>
                <w:sz w:val="21"/>
                <w:szCs w:val="21"/>
              </w:rPr>
              <w:t xml:space="preserve">[ ] Check if DBE / MBE / WBE certifications are required or preferred; document applicable certifications.</w:t>
            </w:r>
          </w:p>
        </w:tc>
      </w:tr>
      <w:tr>
        <w:tc>
          <w:tcPr>
            <w:tcW w:type="dxa" w:w="9360"/>
            <w:tcBorders>
              <w:top w:val="none" w:color="FFFFFF" w:sz="0"/>
              <w:left w:val="single" w:color="C8962B" w:sz="8"/>
              <w:bottom w:val="single" w:color="DDDDDD" w:sz="2"/>
              <w:right w:val="none" w:color="FFFFFF" w:sz="0"/>
            </w:tcBorders>
            <w:shd w:fill="FDF3F3" w:val="clear"/>
            <w:tcMar>
              <w:top w:type="dxa" w:w="60"/>
              <w:left w:type="dxa" w:w="200"/>
              <w:bottom w:type="dxa" w:w="60"/>
              <w:right w:type="dxa" w:w="160"/>
            </w:tcMar>
          </w:tcPr>
          <w:p>
            <w:r>
              <w:rPr>
                <w:rFonts w:ascii="Arial" w:cs="Arial" w:eastAsia="Arial" w:hAnsi="Arial"/>
                <w:color w:val="111111"/>
                <w:sz w:val="21"/>
                <w:szCs w:val="21"/>
              </w:rPr>
              <w:t xml:space="preserve">[ ] Verify CTA-specific insurance, bonding, or surety requirements.</w:t>
            </w:r>
          </w:p>
        </w:tc>
      </w:tr>
      <w:tr>
        <w:tc>
          <w:tcPr>
            <w:tcW w:type="dxa" w:w="9360"/>
            <w:tcBorders>
              <w:top w:val="none" w:color="FFFFFF" w:sz="0"/>
              <w:left w:val="single" w:color="C8962B" w:sz="8"/>
              <w:bottom w:val="single" w:color="DDDDDD" w:sz="2"/>
              <w:right w:val="none" w:color="FFFFFF" w:sz="0"/>
            </w:tcBorders>
            <w:shd w:fill="FDF3F3" w:val="clear"/>
            <w:tcMar>
              <w:top w:type="dxa" w:w="60"/>
              <w:left w:type="dxa" w:w="200"/>
              <w:bottom w:type="dxa" w:w="60"/>
              <w:right w:type="dxa" w:w="160"/>
            </w:tcMar>
          </w:tcPr>
          <w:p>
            <w:r>
              <w:rPr>
                <w:rFonts w:ascii="Arial" w:cs="Arial" w:eastAsia="Arial" w:hAnsi="Arial"/>
                <w:color w:val="111111"/>
                <w:sz w:val="21"/>
                <w:szCs w:val="21"/>
              </w:rPr>
              <w:t xml:space="preserve">[ ] Confirm NAICS codes match CTA's identified code(s) in the solicitation.</w:t>
            </w:r>
          </w:p>
        </w:tc>
      </w:tr>
      <w:tr>
        <w:tc>
          <w:tcPr>
            <w:tcW w:type="dxa" w:w="9360"/>
            <w:tcBorders>
              <w:top w:val="none" w:color="FFFFFF" w:sz="0"/>
              <w:left w:val="single" w:color="C8962B" w:sz="8"/>
              <w:bottom w:val="single" w:color="DDDDDD" w:sz="2"/>
              <w:right w:val="none" w:color="FFFFFF" w:sz="0"/>
            </w:tcBorders>
            <w:shd w:fill="FDF3F3" w:val="clear"/>
            <w:tcMar>
              <w:top w:type="dxa" w:w="60"/>
              <w:left w:type="dxa" w:w="200"/>
              <w:bottom w:type="dxa" w:w="60"/>
              <w:right w:type="dxa" w:w="160"/>
            </w:tcMar>
          </w:tcPr>
          <w:p>
            <w:r>
              <w:rPr>
                <w:rFonts w:ascii="Arial" w:cs="Arial" w:eastAsia="Arial" w:hAnsi="Arial"/>
                <w:color w:val="111111"/>
                <w:sz w:val="21"/>
                <w:szCs w:val="21"/>
              </w:rPr>
              <w:t xml:space="preserve">[ ] Add a teaming/subcontracting plan if required by the solicitation.</w:t>
            </w:r>
          </w:p>
        </w:tc>
      </w:tr>
      <w:tr>
        <w:tc>
          <w:tcPr>
            <w:tcW w:type="dxa" w:w="9360"/>
            <w:tcBorders>
              <w:top w:val="none" w:color="FFFFFF" w:sz="0"/>
              <w:left w:val="single" w:color="C8962B" w:sz="8"/>
              <w:bottom w:val="single" w:color="DDDDDD" w:sz="2"/>
              <w:right w:val="none" w:color="FFFFFF" w:sz="0"/>
            </w:tcBorders>
            <w:shd w:fill="FDF3F3" w:val="clear"/>
            <w:tcMar>
              <w:top w:type="dxa" w:w="60"/>
              <w:left w:type="dxa" w:w="200"/>
              <w:bottom w:type="dxa" w:w="60"/>
              <w:right w:type="dxa" w:w="160"/>
            </w:tcMar>
          </w:tcPr>
          <w:p>
            <w:r>
              <w:rPr>
                <w:rFonts w:ascii="Arial" w:cs="Arial" w:eastAsia="Arial" w:hAnsi="Arial"/>
                <w:color w:val="111111"/>
                <w:sz w:val="21"/>
                <w:szCs w:val="21"/>
              </w:rPr>
              <w:t xml:space="preserve">[ ] Remove all internal reviewer notes (red boxes) from this document before final submission.</w:t>
            </w:r>
          </w:p>
        </w:tc>
      </w:tr>
    </w:tbl>
    <w:p>
      <w:pPr>
        <w:spacing w:after="160" w:before="0"/>
      </w:pPr>
    </w:p>
    <w:p>
      <w:pPr>
        <w:pBdr>
          <w:bottom w:val="single" w:color="C8962B" w:sz="8"/>
        </w:pBdr>
        <w:spacing w:after="80" w:before="320"/>
      </w:pPr>
      <w:r>
        <w:rPr>
          <w:rFonts w:ascii="Arial" w:cs="Arial" w:eastAsia="Arial" w:hAnsi="Arial"/>
          <w:b/>
          <w:bCs/>
          <w:color w:val="C8962B"/>
          <w:sz w:val="28"/>
          <w:szCs w:val="28"/>
        </w:rPr>
        <w:t xml:space="preserve">09  </w:t>
      </w:r>
      <w:r>
        <w:rPr>
          <w:rFonts w:ascii="Arial" w:cs="Arial" w:eastAsia="Arial" w:hAnsi="Arial"/>
          <w:b/>
          <w:bCs/>
          <w:color w:val="1B2A4A"/>
          <w:sz w:val="28"/>
          <w:szCs w:val="28"/>
        </w:rPr>
        <w:t xml:space="preserve">Contact Information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b/>
                <w:bCs/>
                <w:color w:val="1B2A4A"/>
                <w:sz w:val="20"/>
                <w:szCs w:val="20"/>
              </w:rPr>
              <w:t xml:space="preserve">Primary Contact</w:t>
            </w:r>
          </w:p>
        </w:tc>
        <w:tc>
          <w:tcPr>
            <w:tcW w:type="dxa" w:w="656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sz w:val="20"/>
                <w:szCs w:val="20"/>
              </w:rPr>
              <w:t xml:space="preserve">Business Development Team</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b/>
                <w:bCs/>
                <w:color w:val="1B2A4A"/>
                <w:sz w:val="20"/>
                <w:szCs w:val="20"/>
              </w:rPr>
              <w:t xml:space="preserve">Email</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20"/>
                <w:szCs w:val="20"/>
              </w:rPr>
              <w:t xml:space="preserve">info@dfeal.com  |  shola@dfeal.com</w:t>
            </w:r>
          </w:p>
        </w:tc>
      </w:tr>
      <w:tr>
        <w:tc>
          <w:tcPr>
            <w:tcW w:type="dxa" w:w="28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b/>
                <w:bCs/>
                <w:color w:val="1B2A4A"/>
                <w:sz w:val="20"/>
                <w:szCs w:val="20"/>
              </w:rPr>
              <w:t xml:space="preserve">Phone</w:t>
            </w:r>
          </w:p>
        </w:tc>
        <w:tc>
          <w:tcPr>
            <w:tcW w:type="dxa" w:w="656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sz w:val="20"/>
                <w:szCs w:val="20"/>
              </w:rPr>
              <w:t xml:space="preserve">844-442-0529</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b/>
                <w:bCs/>
                <w:color w:val="1B2A4A"/>
                <w:sz w:val="20"/>
                <w:szCs w:val="20"/>
              </w:rPr>
              <w:t xml:space="preserve">Primary Address</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20"/>
                <w:szCs w:val="20"/>
              </w:rPr>
              <w:t xml:space="preserve">254 Chapman Rd. Ste 208, Newark, Delaware 19702</w:t>
            </w:r>
          </w:p>
        </w:tc>
      </w:tr>
      <w:tr>
        <w:tc>
          <w:tcPr>
            <w:tcW w:type="dxa" w:w="28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b/>
                <w:bCs/>
                <w:color w:val="1B2A4A"/>
                <w:sz w:val="20"/>
                <w:szCs w:val="20"/>
              </w:rPr>
              <w:t xml:space="preserve">Illinois Address</w:t>
            </w:r>
          </w:p>
        </w:tc>
        <w:tc>
          <w:tcPr>
            <w:tcW w:type="dxa" w:w="656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80"/>
            </w:tcMar>
          </w:tcPr>
          <w:p>
            <w:r>
              <w:rPr>
                <w:rFonts w:ascii="Arial" w:cs="Arial" w:eastAsia="Arial" w:hAnsi="Arial"/>
                <w:sz w:val="20"/>
                <w:szCs w:val="20"/>
              </w:rPr>
              <w:t xml:space="preserve">800 Beethoven St., Volo, IL 60073-5933</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b/>
                <w:bCs/>
                <w:color w:val="1B2A4A"/>
                <w:sz w:val="20"/>
                <w:szCs w:val="20"/>
              </w:rPr>
              <w:t xml:space="preserve">Website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20"/>
                <w:szCs w:val="20"/>
              </w:rPr>
              <w:t xml:space="preserve">www.dfeal.com</w:t>
            </w:r>
          </w:p>
        </w:tc>
      </w:tr>
    </w:tbl>
    <w:p>
      <w:pPr>
        <w:spacing w:after="120" w:before="0"/>
      </w:pPr>
    </w:p>
    <w:p>
      <w:pPr>
        <w:spacing w:after="120" w:before="0"/>
        <w:jc w:val="left"/>
      </w:pPr>
      <w:r>
        <w:rPr>
          <w:rFonts w:ascii="Arial" w:cs="Arial" w:eastAsia="Arial" w:hAnsi="Arial"/>
          <w:b w:val="false"/>
          <w:bCs w:val="false"/>
          <w:i w:val="false"/>
          <w:iCs w:val="false"/>
          <w:color w:val="555555"/>
          <w:sz w:val="22"/>
          <w:szCs w:val="22"/>
        </w:rPr>
        <w:t xml:space="preserve">DFEAL is ready to schedule an alignment call, provide additional technical documentation, or discuss teaming arrangements at your convenience.</w:t>
      </w:r>
    </w:p>
    <w:p>
      <w:pPr>
        <w:spacing w:after="240" w:before="0"/>
      </w:pPr>
    </w:p>
    <w:p>
      <w:pPr>
        <w:pBdr>
          <w:bottom w:val="single" w:color="C8962B" w:sz="12"/>
        </w:pBdr>
        <w:spacing w:after="120" w:before="120"/>
      </w:pPr>
    </w:p>
    <w:p>
      <w:pPr>
        <w:spacing w:after="80" w:before="120"/>
        <w:jc w:val="center"/>
      </w:pPr>
      <w:r>
        <w:rPr>
          <w:rFonts w:ascii="Arial" w:cs="Arial" w:eastAsia="Arial" w:hAnsi="Arial"/>
          <w:b/>
          <w:bCs/>
          <w:i w:val="false"/>
          <w:iCs w:val="false"/>
          <w:color w:val="1B2A4A"/>
          <w:sz w:val="22"/>
          <w:szCs w:val="22"/>
        </w:rPr>
        <w:t xml:space="preserve">DFEAL LLC  —  Your Mission-Ready Technology Partner</w:t>
      </w:r>
    </w:p>
    <w:p>
      <w:pPr>
        <w:spacing w:after="120" w:before="0"/>
        <w:jc w:val="center"/>
      </w:pPr>
      <w:r>
        <w:rPr>
          <w:rFonts w:ascii="Arial" w:cs="Arial" w:eastAsia="Arial" w:hAnsi="Arial"/>
          <w:b w:val="false"/>
          <w:bCs w:val="false"/>
          <w:i w:val="false"/>
          <w:iCs w:val="false"/>
          <w:color w:val="555555"/>
          <w:sz w:val="22"/>
          <w:szCs w:val="22"/>
        </w:rPr>
        <w:t xml:space="preserve">info@dfeal.com  •  844-442-0529  •  www.dfeal.com</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62B" w:sz="6"/>
      </w:pBdr>
      <w:tabs>
        <w:tab w:val="right" w:pos="9360"/>
      </w:tabs>
      <w:spacing w:before="60"/>
    </w:pPr>
    <w:r>
      <w:rPr>
        <w:rFonts w:ascii="Arial" w:cs="Arial" w:eastAsia="Arial" w:hAnsi="Arial"/>
        <w:color w:val="555555"/>
        <w:sz w:val="16"/>
        <w:szCs w:val="16"/>
      </w:rPr>
      <w:t xml:space="preserve">DFEAL LLC  •  info@dfeal.com  •  844-442-0529  •  www.dfeal.com</w:t>
    </w:r>
    <w:r>
      <w:rPr>
        <w:rFonts w:ascii="Arial" w:cs="Arial" w:eastAsia="Arial" w:hAnsi="Arial"/>
        <w:color w:val="555555"/>
        <w:sz w:val="16"/>
        <w:szCs w:val="16"/>
      </w:rPr>
      <w:t xml:space="preserve">	Page </w:t>
    </w:r>
    <w:fldSimple w:instr="PAGE">
      <w:r>
        <w:rPr>
          <w:rFonts w:ascii="Arial" w:cs="Arial" w:eastAsia="Arial" w:hAnsi="Arial"/>
          <w:color w:val="555555"/>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pBdr>
      <w:spacing w:after="0"/>
    </w:pPr>
    <w:r>
      <w:rPr>
        <w:rFonts w:ascii="Arial" w:cs="Arial" w:eastAsia="Arial" w:hAnsi="Arial"/>
        <w:b/>
        <w:bCs/>
        <w:color w:val="1B2A4A"/>
        <w:sz w:val="18"/>
        <w:szCs w:val="18"/>
      </w:rPr>
      <w:t xml:space="preserve">DFEAL LLC  |  Proposal Response</w:t>
    </w:r>
    <w:r>
      <w:rPr>
        <w:rFonts w:ascii="Arial" w:cs="Arial" w:eastAsia="Arial" w:hAnsi="Arial"/>
        <w:color w:val="555555"/>
        <w:sz w:val="18"/>
        <w:szCs w:val="18"/>
      </w:rPr>
      <w:t xml:space="preserve">          CTA Opportunity #231704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16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2026-05-02T16:47:44.044Z</dcterms:created>
  <dcterms:modified xsi:type="dcterms:W3CDTF">2026-05-02T16:47:44.044Z</dcterms:modified>
</cp:coreProperties>
</file>

<file path=docProps/custom.xml><?xml version="1.0" encoding="utf-8"?>
<Properties xmlns="http://schemas.openxmlformats.org/officeDocument/2006/custom-properties" xmlns:vt="http://schemas.openxmlformats.org/officeDocument/2006/docPropsVTypes"/>
</file>