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B0B0B"/>
          <w:sz w:val="40"/>
          <w:szCs w:val="40"/>
        </w:rPr>
        <w:t xml:space="preserve">OpenMarket</w:t>
      </w:r>
      <w:r>
        <w:rPr>
          <w:rFonts w:ascii="Arial" w:cs="Arial" w:eastAsia="Arial" w:hAnsi="Arial"/>
          <w:b/>
          <w:bCs/>
          <w:color w:val="EB6834"/>
          <w:spacing w:val="60"/>
          <w:sz w:val="22"/>
          <w:szCs w:val="22"/>
        </w:rPr>
        <w:t xml:space="preserve"> AFRICA</w:t>
      </w:r>
      <w:r>
        <w:rPr>
          <w:rFonts w:ascii="Georgia" w:cs="Georgia" w:eastAsia="Georgia" w:hAnsi="Georgia"/>
          <w:i/>
          <w:iCs/>
          <w:color w:val="52514E"/>
          <w:sz w:val="17"/>
          <w:szCs w:val="17"/>
        </w:rPr>
        <w:t xml:space="preserve">    Where Africa's open markets meet verified commerce</w:t>
      </w:r>
    </w:p>
    <w:p>
      <w:pPr>
        <w:pBdr>
          <w:bottom w:val="single" w:color="EB6834" w:sz="12" w:space="8"/>
        </w:pBdr>
        <w:spacing w:after="130"/>
      </w:pPr>
      <w:r>
        <w:rPr>
          <w:rFonts w:ascii="Arial" w:cs="Arial" w:eastAsia="Arial" w:hAnsi="Arial"/>
          <w:color w:val="8A8983"/>
          <w:sz w:val="15"/>
          <w:szCs w:val="15"/>
        </w:rPr>
        <w:t xml:space="preserve">Digital Fusion Labs  ·  Seed round · Confidential · July 2026</w:t>
      </w:r>
    </w:p>
    <w:p>
      <w:pPr>
        <w:spacing w:after="70" w:before="130"/>
      </w:pPr>
      <w:r>
        <w:rPr>
          <w:rFonts w:ascii="Arial" w:cs="Arial" w:eastAsia="Arial" w:hAnsi="Arial"/>
          <w:b/>
          <w:bCs/>
          <w:color w:val="0B0B0B"/>
          <w:sz w:val="26"/>
          <w:szCs w:val="26"/>
        </w:rPr>
        <w:t xml:space="preserve">The settlement layer for Africa's $1 trillion informal retail channel</w:t>
      </w:r>
    </w:p>
    <w:p>
      <w:pPr>
        <w:spacing w:after="150" w:line="242"/>
        <w:jc w:val="both"/>
      </w:pPr>
      <w:r>
        <w:rPr>
          <w:rFonts w:ascii="Georgia" w:cs="Georgia" w:eastAsia="Georgia" w:hAnsi="Georgia"/>
          <w:color w:val="52514E"/>
          <w:sz w:val="19"/>
          <w:szCs w:val="19"/>
        </w:rPr>
        <w:t xml:space="preserve">Between 2019 and 2026, more than half a billion dollars was invested in digitising African informal retail by becoming the wholesaler. Four of those companies no longer exist, three abandoned commerce, two merged, and one — the only one that refused to own the assets — is profitable. After all of it, 94% of Nigerian retailers still buy the way they always did. OpenMarket does not replace that channel. It supplies the settlement guarantee the channel cannot supply for itself.</w:t>
      </w:r>
    </w:p>
    <w:tbl>
      <w:tblPr>
        <w:tblW w:type="dxa" w:w="98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FDF0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B6834"/>
                <w:sz w:val="26"/>
                <w:szCs w:val="26"/>
              </w:rPr>
              <w:t xml:space="preserve">$4.5m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3"/>
                <w:szCs w:val="13"/>
              </w:rPr>
              <w:t xml:space="preserve">SEED SOUGHT</w:t>
            </w:r>
          </w:p>
        </w:tc>
        <w:tc>
          <w:tcPr>
            <w:tcW w:type="dxa" w:w="1976"/>
            <w:shd w:fill="FDF0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B6834"/>
                <w:sz w:val="26"/>
                <w:szCs w:val="26"/>
              </w:rPr>
              <w:t xml:space="preserve">$24.2m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3"/>
                <w:szCs w:val="13"/>
              </w:rPr>
              <w:t xml:space="preserve">YEAR-5 REVENUE</w:t>
            </w:r>
          </w:p>
        </w:tc>
        <w:tc>
          <w:tcPr>
            <w:tcW w:type="dxa" w:w="1976"/>
            <w:shd w:fill="FDF0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B6834"/>
                <w:sz w:val="26"/>
                <w:szCs w:val="26"/>
              </w:rPr>
              <w:t xml:space="preserve">32%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3"/>
                <w:szCs w:val="13"/>
              </w:rPr>
              <w:t xml:space="preserve">YEAR-5 EBITDA MARGIN</w:t>
            </w:r>
          </w:p>
        </w:tc>
        <w:tc>
          <w:tcPr>
            <w:tcW w:type="dxa" w:w="1976"/>
            <w:shd w:fill="FDF0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B6834"/>
                <w:sz w:val="26"/>
                <w:szCs w:val="26"/>
              </w:rPr>
              <w:t xml:space="preserve">12 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3"/>
                <w:szCs w:val="13"/>
              </w:rPr>
              <w:t xml:space="preserve">HUB PAYBACK</w:t>
            </w:r>
          </w:p>
        </w:tc>
        <w:tc>
          <w:tcPr>
            <w:tcW w:type="dxa" w:w="1976"/>
            <w:shd w:fill="FDF0EA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B6834"/>
                <w:sz w:val="26"/>
                <w:szCs w:val="26"/>
              </w:rPr>
              <w:t xml:space="preserve">16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2514E"/>
                <w:sz w:val="13"/>
                <w:szCs w:val="13"/>
              </w:rPr>
              <w:t xml:space="preserve">HUBS BY YEAR 5</w:t>
            </w:r>
          </w:p>
        </w:tc>
      </w:tr>
    </w:tbl>
    <w:p>
      <w:pPr>
        <w:spacing w:after="110"/>
      </w:pPr>
    </w:p>
    <w:p>
      <w:pPr>
        <w:keepNext/>
        <w:spacing w:after="70" w:before="165"/>
      </w:pPr>
      <w:r>
        <w:rPr>
          <w:rFonts w:ascii="Arial" w:cs="Arial" w:eastAsia="Arial" w:hAnsi="Arial"/>
          <w:b/>
          <w:bCs/>
          <w:color w:val="0B0B0B"/>
          <w:sz w:val="20"/>
          <w:szCs w:val="20"/>
        </w:rPr>
        <w:t xml:space="preserve">The finding that governs everything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Africa's informal retail channel is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2.5 million retailers turning over roughly $1 trillion a year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and driving 70% of all food, beverage and personal care sales. In Nigeria,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only 30% of FMCG reaches retailers directly; 70% moves through wholesale markets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nobody has instrumented. Onitsha Main Market alone holds over 20,000 merchants and more than $5 billion of annual trade.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Every well-funded attempt to intermediate that channel by owning it has failed.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Copia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entered administration after raising $100m+.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MarketForce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wound down commerce.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Zumi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shut down.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Wabi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backed by Coca-Cola, exited Nigeria and Kenya.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Alerzo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closed warehouses.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Wasoko and MaxAB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merged and made fintech core.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TradeDepot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after $110m, pivoted to embedded finance.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Sabi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pivoted to traceability. The named causes are consistent: razor-thin FMCG margins, asset-heavy operations, and FX volatility.</w:t>
      </w:r>
    </w:p>
    <w:tbl>
      <w:tblPr>
        <w:tblW w:type="dxa" w:w="9880"/>
        <w:tblBorders>
          <w:top w:val="single" w:color="FDF0EA" w:sz="2"/>
          <w:left w:val="single" w:color="EB6834" w:sz="16"/>
          <w:bottom w:val="single" w:color="FDF0EA" w:sz="2"/>
          <w:right w:val="single" w:color="FDF0EA" w:sz="2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DF0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B6834"/>
                <w:sz w:val="16"/>
                <w:szCs w:val="16"/>
              </w:rPr>
              <w:t xml:space="preserve">The one that worked, and what it proves</w:t>
            </w:r>
          </w:p>
          <w:p>
            <w:pPr>
              <w:spacing w:after="80" w:line="25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OmniRetail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 is the only profitable operator: EBITDA positive in 2023, net profitable in 2024, on ₦1.3 trillion (~$810m) of 2024 volume, having raised $38m. It publishes </w:t>
            </w: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9% gross margins and 5% net contribution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, achieved by owning nothing — partner distributors warehouse, 3,000+ third parties deliver, hyperlocal beats centralised by ~3% on supply cost.</w:t>
            </w:r>
          </w:p>
          <w:p>
            <w:pPr>
              <w:spacing w:after="80" w:line="25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MaxAB-Wasoko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 said it plainly on exiting Moroccan e-commerce: commerce is capital-intensive and low-margin; fintech offers recurring revenue and better unit economics. Its Egyptian book turns over $180m+ at 99%+ repayment.</w:t>
            </w:r>
          </w:p>
          <w:p>
            <w:pPr>
              <w:spacing w:after="0" w:line="250"/>
              <w:jc w:val="both"/>
            </w:pP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The conclusion is not contested by anyone in the sector: </w:t>
            </w: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take rate is the wedge, embedded finance and manufacturer data are the margin, and owning assets is fatal.</w:t>
            </w:r>
          </w:p>
        </w:tc>
      </w:tr>
    </w:tbl>
    <w:p>
      <w:pPr>
        <w:spacing w:after="95"/>
      </w:pPr>
    </w:p>
    <w:p>
      <w:pPr>
        <w:keepNext/>
        <w:spacing w:after="70" w:before="165"/>
      </w:pPr>
      <w:r>
        <w:rPr>
          <w:rFonts w:ascii="Arial" w:cs="Arial" w:eastAsia="Arial" w:hAnsi="Arial"/>
          <w:b/>
          <w:bCs/>
          <w:color w:val="0B0B0B"/>
          <w:sz w:val="20"/>
          <w:szCs w:val="20"/>
        </w:rPr>
        <w:t xml:space="preserve">What OpenMarket actually does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A merchant orders from a distributor they may never have met. The platform verifies payment has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settled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at the provider — not authorised, settled — before any fulfilment instruction is issued. The ledger splits programmatically and the distributor receives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95% instantly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carrying no credit risk on the transaction. The carrier, if used, holds their own liability and insurance. OpenMarket never buys, never sells, never holds stock and never becomes a party to the trade.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That guarantee is the wedge. What it earns is the business: a verified record of who buys what, from whom, how often, and whether they pay — which is exactly the underwriting data Nigeria's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$32.2 billion SME financing gap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exists for want of, and exactly the demand telemetry manufacturers currently buy in worse and staler form through field audits.</w:t>
      </w:r>
    </w:p>
    <w:tbl>
      <w:tblPr>
        <w:tblW w:type="dxa" w:w="9880"/>
        <w:tblBorders>
          <w:top w:val="single" w:color="D8D7D2" w:sz="4"/>
          <w:left w:val="none" w:color="FFFFFF" w:sz="0"/>
          <w:bottom w:val="single" w:color="D8D7D2" w:sz="4"/>
          <w:right w:val="none" w:color="FFFFFF" w:sz="0"/>
          <w:insideH w:val="single" w:color="D8D7D2" w:sz="2"/>
          <w:insideV w:val="none" w:color="FFFFFF" w:sz="0"/>
        </w:tblBorders>
      </w:tblPr>
      <w:tblGrid>
        <w:gridCol w:w="2350"/>
        <w:gridCol w:w="2050"/>
        <w:gridCol w:w="5480"/>
      </w:tblGrid>
      <w:tr>
        <w:trPr>
          <w:tblHeader/>
        </w:trPr>
        <w:tc>
          <w:tcPr>
            <w:tcW w:type="dxa" w:w="235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Revenue line</w:t>
            </w:r>
          </w:p>
        </w:tc>
        <w:tc>
          <w:tcPr>
            <w:tcW w:type="dxa" w:w="205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Year-5</w:t>
            </w:r>
          </w:p>
        </w:tc>
        <w:tc>
          <w:tcPr>
            <w:tcW w:type="dxa" w:w="548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Why it exists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Settlement and coordination</w:t>
            </w:r>
          </w:p>
        </w:tc>
        <w:tc>
          <w:tcPr>
            <w:tcW w:type="dxa" w:w="20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$13.5m</w:t>
            </w:r>
          </w:p>
        </w:tc>
        <w:tc>
          <w:tcPr>
            <w:tcW w:type="dxa" w:w="548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2.4–2.6% net of channel rebate. The wedge, priced to what single-digit channel margins can bear.</w:t>
            </w:r>
          </w:p>
        </w:tc>
      </w:tr>
      <w:tr>
        <w:tc>
          <w:tcPr>
            <w:tcW w:type="dxa" w:w="235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Embedded working capital</w:t>
            </w:r>
          </w:p>
        </w:tc>
        <w:tc>
          <w:tcPr>
            <w:tcW w:type="dxa" w:w="205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$3.0m</w:t>
            </w:r>
          </w:p>
        </w:tc>
        <w:tc>
          <w:tcPr>
            <w:tcW w:type="dxa" w:w="548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30-day tenor on verified settlement history. 46% gross yield less 24% funding and 2.1% losses; $15m book on $182m of annual disbursement.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Manufacturer demand intelligence</w:t>
            </w:r>
          </w:p>
        </w:tc>
        <w:tc>
          <w:tcPr>
            <w:tcW w:type="dxa" w:w="20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$3.4m</w:t>
            </w:r>
          </w:p>
        </w:tc>
        <w:tc>
          <w:tcPr>
            <w:tcW w:type="dxa" w:w="548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Cluster-level telemetry, k-anonymous. The highest-margin line and the only one an aggregator cannot copy.</w:t>
            </w:r>
          </w:p>
        </w:tc>
      </w:tr>
      <w:tr>
        <w:tc>
          <w:tcPr>
            <w:tcW w:type="dxa" w:w="235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SmartSubsidy campaigns</w:t>
            </w:r>
          </w:p>
        </w:tc>
        <w:tc>
          <w:tcPr>
            <w:tcW w:type="dxa" w:w="205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$2.1m</w:t>
            </w:r>
          </w:p>
        </w:tc>
        <w:tc>
          <w:tcPr>
            <w:tcW w:type="dxa" w:w="548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Manufacturer-funded promotion routed through the network at an 11% take, with verifiable shelf effect.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Logistics coordination</w:t>
            </w:r>
          </w:p>
        </w:tc>
        <w:tc>
          <w:tcPr>
            <w:tcW w:type="dxa" w:w="205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$2.1m</w:t>
            </w:r>
          </w:p>
        </w:tc>
        <w:tc>
          <w:tcPr>
            <w:tcW w:type="dxa" w:w="548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0.8% on orders using a licensed carrier. The platform coordinates the lane; it does not own the vehicle.</w:t>
            </w:r>
          </w:p>
        </w:tc>
      </w:tr>
      <w:tr>
        <w:tc>
          <w:tcPr>
            <w:tcW w:type="dxa" w:w="235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Total Year-5 revenue</w:t>
            </w:r>
          </w:p>
        </w:tc>
        <w:tc>
          <w:tcPr>
            <w:tcW w:type="dxa" w:w="205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$24.2m</w:t>
            </w:r>
          </w:p>
        </w:tc>
        <w:tc>
          <w:tcPr>
            <w:tcW w:type="dxa" w:w="548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4.64% of $520.9m GMV; contribution 3.65% of GMV against OmniRetail's 5% on an inventory-owning model.</w:t>
            </w:r>
          </w:p>
        </w:tc>
      </w:tr>
    </w:tbl>
    <w:p>
      <w:pPr>
        <w:spacing w:after="95"/>
      </w:pPr>
    </w:p>
    <w:p>
      <w:pPr>
        <w:keepNext/>
        <w:spacing w:after="70" w:before="165"/>
      </w:pPr>
      <w:r>
        <w:rPr>
          <w:rFonts w:ascii="Arial" w:cs="Arial" w:eastAsia="Arial" w:hAnsi="Arial"/>
          <w:b/>
          <w:bCs/>
          <w:color w:val="0B0B0B"/>
          <w:sz w:val="20"/>
          <w:szCs w:val="20"/>
        </w:rPr>
        <w:t xml:space="preserve">The unit that decides this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Merchant-level economics are poor in the early years and the plan does not hide it: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Year-1 LTV:CAC is 0.29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because the fixed cost of activating a market hub is spread across a thin first cohort. It reaches 8.94 by Year 5. The unit that actually matters is the hub.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Distribution is people, and the plan says so.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700 resident agents by Year 5 across sixteen hubs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who onboard and reconcile both sides onto the ledger, alongside roughly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1,000 commissioned market connectors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who introduce retailers and wholesalers they already know and are paid a 50% share of the settlement fee on that first order — funded out of the rebate that order would otherwise have returned, so the referral network costs nothing on a net basis. Contribution per agent rises from $592 in Year 1 to $27,180 by Year 5.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color w:val="0B0B0B"/>
          <w:sz w:val="18"/>
          <w:szCs w:val="18"/>
        </w:rPr>
        <w:t xml:space="preserve">A market hub costs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$46,000 to activate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— four resident agents for six months, distributor onboarding, association fees, launch — plus $2,600 a month thereafter. It ramps to 18,300 transacting merchants by month 30. On that curve it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breaks even in month 12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and has returned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$2.94 million of cumulative contribution by month 36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against a mature run-rate near $2.12 million a year. Nobody at OpenMarket will ever decide to acquire a merchant; they will decide to activate Kejetia.</w:t>
      </w:r>
    </w:p>
    <w:tbl>
      <w:tblPr>
        <w:tblW w:type="dxa" w:w="9880"/>
        <w:tblBorders>
          <w:top w:val="single" w:color="D8D7D2" w:sz="4"/>
          <w:left w:val="none" w:color="FFFFFF" w:sz="0"/>
          <w:bottom w:val="single" w:color="D8D7D2" w:sz="4"/>
          <w:right w:val="none" w:color="FFFFFF" w:sz="0"/>
          <w:insideH w:val="single" w:color="D8D7D2" w:sz="2"/>
          <w:insideV w:val="none" w:color="FFFFFF" w:sz="0"/>
        </w:tblBorders>
      </w:tblPr>
      <w:tblGrid>
        <w:gridCol w:w="2600"/>
        <w:gridCol w:w="1420"/>
        <w:gridCol w:w="1420"/>
        <w:gridCol w:w="1420"/>
        <w:gridCol w:w="1420"/>
        <w:gridCol w:w="1600"/>
      </w:tblGrid>
      <w:tr>
        <w:trPr>
          <w:tblHeader/>
        </w:trPr>
        <w:tc>
          <w:tcPr>
            <w:tcW w:type="dxa" w:w="26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US$</w:t>
            </w:r>
          </w:p>
        </w:tc>
        <w:tc>
          <w:tcPr>
            <w:tcW w:type="dxa" w:w="142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 1</w:t>
            </w:r>
          </w:p>
        </w:tc>
        <w:tc>
          <w:tcPr>
            <w:tcW w:type="dxa" w:w="142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 2</w:t>
            </w:r>
          </w:p>
        </w:tc>
        <w:tc>
          <w:tcPr>
            <w:tcW w:type="dxa" w:w="142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 3</w:t>
            </w:r>
          </w:p>
        </w:tc>
        <w:tc>
          <w:tcPr>
            <w:tcW w:type="dxa" w:w="142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 4</w:t>
            </w:r>
          </w:p>
        </w:tc>
        <w:tc>
          <w:tcPr>
            <w:tcW w:type="dxa" w:w="16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Year 5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GMV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4,446,000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27,642,617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99,216,401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254,684,938</w:t>
            </w:r>
          </w:p>
        </w:tc>
        <w:tc>
          <w:tcPr>
            <w:tcW w:type="dxa" w:w="1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520,851,230</w:t>
            </w:r>
          </w:p>
        </w:tc>
      </w:tr>
      <w:tr>
        <w:tc>
          <w:tcPr>
            <w:tcW w:type="dxa" w:w="26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Revenue</w:t>
            </w:r>
          </w:p>
        </w:tc>
        <w:tc>
          <w:tcPr>
            <w:tcW w:type="dxa" w:w="142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177,783</w:t>
            </w:r>
          </w:p>
        </w:tc>
        <w:tc>
          <w:tcPr>
            <w:tcW w:type="dxa" w:w="142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1,173,128</w:t>
            </w:r>
          </w:p>
        </w:tc>
        <w:tc>
          <w:tcPr>
            <w:tcW w:type="dxa" w:w="142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4,473,728</w:t>
            </w:r>
          </w:p>
        </w:tc>
        <w:tc>
          <w:tcPr>
            <w:tcW w:type="dxa" w:w="142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11,671,209</w:t>
            </w:r>
          </w:p>
        </w:tc>
        <w:tc>
          <w:tcPr>
            <w:tcW w:type="dxa" w:w="16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24,154,096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Gross margin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10.0%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46.6%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63.9%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73.3%</w:t>
            </w:r>
          </w:p>
        </w:tc>
        <w:tc>
          <w:tcPr>
            <w:tcW w:type="dxa" w:w="1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78.8%</w:t>
            </w:r>
          </w:p>
        </w:tc>
      </w:tr>
      <w:tr>
        <w:tc>
          <w:tcPr>
            <w:tcW w:type="dxa" w:w="2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EBITDA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(844,332)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(1,627,269)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(1,597,513)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955,521</w:t>
            </w:r>
          </w:p>
        </w:tc>
        <w:tc>
          <w:tcPr>
            <w:tcW w:type="dxa" w:w="1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7,776,830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Transacting merchants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4,200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19,500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58,000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124,000</w:t>
            </w:r>
          </w:p>
        </w:tc>
        <w:tc>
          <w:tcPr>
            <w:tcW w:type="dxa" w:w="1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218,000</w:t>
            </w:r>
          </w:p>
        </w:tc>
      </w:tr>
      <w:tr>
        <w:tc>
          <w:tcPr>
            <w:tcW w:type="dxa" w:w="2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Distributors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140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620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1,850</w:t>
            </w:r>
          </w:p>
        </w:tc>
        <w:tc>
          <w:tcPr>
            <w:tcW w:type="dxa" w:w="142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3,900</w:t>
            </w:r>
          </w:p>
        </w:tc>
        <w:tc>
          <w:tcPr>
            <w:tcW w:type="dxa" w:w="1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6,400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Hubs live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5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7</w:t>
            </w:r>
          </w:p>
        </w:tc>
        <w:tc>
          <w:tcPr>
            <w:tcW w:type="dxa" w:w="142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11</w:t>
            </w:r>
          </w:p>
        </w:tc>
        <w:tc>
          <w:tcPr>
            <w:tcW w:type="dxa" w:w="1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16</w:t>
            </w:r>
          </w:p>
        </w:tc>
      </w:tr>
    </w:tbl>
    <w:p>
      <w:pPr>
        <w:spacing w:after="95"/>
      </w:pPr>
    </w:p>
    <w:p>
      <w:pPr>
        <w:keepNext/>
        <w:spacing w:after="70" w:before="165"/>
      </w:pPr>
      <w:r>
        <w:rPr>
          <w:rFonts w:ascii="Arial" w:cs="Arial" w:eastAsia="Arial" w:hAnsi="Arial"/>
          <w:b/>
          <w:bCs/>
          <w:color w:val="0B0B0B"/>
          <w:sz w:val="20"/>
          <w:szCs w:val="20"/>
        </w:rPr>
        <w:t xml:space="preserve">The ask</w:t>
      </w:r>
    </w:p>
    <w:p>
      <w:pPr>
        <w:spacing w:after="92" w:line="242"/>
        <w:jc w:val="both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$4.5 million in seed equity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against $420,000 already deployed on the live platform at openmarket.africa. Thirty months of runway through cumulative operating burn of $4.07 million across three years, to EBITDA crossing zero in Year 4. A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$15 million Series A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is modelled in Year 3. Separately, a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ring-fenced $16 million credit facility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funds the working-capital book — it is not operating capital and is not dilution. TradeDepot's $110m raise was 62% debt for the same reason.</w:t>
      </w:r>
    </w:p>
    <w:tbl>
      <w:tblPr>
        <w:tblW w:type="dxa" w:w="9300"/>
        <w:tblBorders>
          <w:top w:val="single" w:color="D8D7D2" w:sz="4"/>
          <w:left w:val="none" w:color="FFFFFF" w:sz="0"/>
          <w:bottom w:val="single" w:color="D8D7D2" w:sz="4"/>
          <w:right w:val="none" w:color="FFFFFF" w:sz="0"/>
          <w:insideH w:val="single" w:color="D8D7D2" w:sz="2"/>
          <w:insideV w:val="none" w:color="FFFFFF" w:sz="0"/>
        </w:tblBorders>
      </w:tblPr>
      <w:tblGrid>
        <w:gridCol w:w="3200"/>
        <w:gridCol w:w="1500"/>
        <w:gridCol w:w="1000"/>
        <w:gridCol w:w="3600"/>
      </w:tblGrid>
      <w:tr>
        <w:trPr>
          <w:tblHeader/>
        </w:trPr>
        <w:tc>
          <w:tcPr>
            <w:tcW w:type="dxa" w:w="32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Use of funds</w:t>
            </w:r>
          </w:p>
        </w:tc>
        <w:tc>
          <w:tcPr>
            <w:tcW w:type="dxa" w:w="15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US$</w:t>
            </w:r>
          </w:p>
        </w:tc>
        <w:tc>
          <w:tcPr>
            <w:tcW w:type="dxa" w:w="10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Share</w:t>
            </w:r>
          </w:p>
        </w:tc>
        <w:tc>
          <w:tcPr>
            <w:tcW w:type="dxa" w:w="3600"/>
            <w:shd w:fill="0B0B0B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What it buys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Field operations</w:t>
            </w:r>
          </w:p>
        </w:tc>
        <w:tc>
          <w:tcPr>
            <w:tcW w:type="dxa" w:w="15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1,120,000</w:t>
            </w:r>
          </w:p>
        </w:tc>
        <w:tc>
          <w:tcPr>
            <w:tcW w:type="dxa" w:w="10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25%</w:t>
            </w:r>
          </w:p>
        </w:tc>
        <w:tc>
          <w:tcPr>
            <w:tcW w:type="dxa" w:w="3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Resident agents across five hubs — the largest line, correctly</w:t>
            </w:r>
          </w:p>
        </w:tc>
      </w:tr>
      <w:tr>
        <w:tc>
          <w:tcPr>
            <w:tcW w:type="dxa" w:w="32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Engineering — settlement and VWL</w:t>
            </w:r>
          </w:p>
        </w:tc>
        <w:tc>
          <w:tcPr>
            <w:tcW w:type="dxa" w:w="15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1,180,000</w:t>
            </w:r>
          </w:p>
        </w:tc>
        <w:tc>
          <w:tcPr>
            <w:tcW w:type="dxa" w:w="10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26%</w:t>
            </w:r>
          </w:p>
        </w:tc>
        <w:tc>
          <w:tcPr>
            <w:tcW w:type="dxa" w:w="3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The ledger, payment verification, Virtual Warehouse Ledger, offline-first mobile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Commercial and manufacturer sales</w:t>
            </w:r>
          </w:p>
        </w:tc>
        <w:tc>
          <w:tcPr>
            <w:tcW w:type="dxa" w:w="15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520,000</w:t>
            </w:r>
          </w:p>
        </w:tc>
        <w:tc>
          <w:tcPr>
            <w:tcW w:type="dxa" w:w="10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12%</w:t>
            </w:r>
          </w:p>
        </w:tc>
        <w:tc>
          <w:tcPr>
            <w:tcW w:type="dxa" w:w="3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Distributor onboarding at scale; first telemetry contracts</w:t>
            </w:r>
          </w:p>
        </w:tc>
      </w:tr>
      <w:tr>
        <w:tc>
          <w:tcPr>
            <w:tcW w:type="dxa" w:w="32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Credit and risk</w:t>
            </w:r>
          </w:p>
        </w:tc>
        <w:tc>
          <w:tcPr>
            <w:tcW w:type="dxa" w:w="15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480,000</w:t>
            </w:r>
          </w:p>
        </w:tc>
        <w:tc>
          <w:tcPr>
            <w:tcW w:type="dxa" w:w="10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11%</w:t>
            </w:r>
          </w:p>
        </w:tc>
        <w:tc>
          <w:tcPr>
            <w:tcW w:type="dxa" w:w="3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The risk function that must exist before the first loan, and facility negotiation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Infrastructure and inference</w:t>
            </w:r>
          </w:p>
        </w:tc>
        <w:tc>
          <w:tcPr>
            <w:tcW w:type="dxa" w:w="15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320,000</w:t>
            </w:r>
          </w:p>
        </w:tc>
        <w:tc>
          <w:tcPr>
            <w:tcW w:type="dxa" w:w="10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7%</w:t>
            </w:r>
          </w:p>
        </w:tc>
        <w:tc>
          <w:tcPr>
            <w:tcW w:type="dxa" w:w="3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Cloud, data stores, the beginnings of the Phase-2 layer</w:t>
            </w:r>
          </w:p>
        </w:tc>
      </w:tr>
      <w:tr>
        <w:tc>
          <w:tcPr>
            <w:tcW w:type="dxa" w:w="32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Hub activation — 5 hubs</w:t>
            </w:r>
          </w:p>
        </w:tc>
        <w:tc>
          <w:tcPr>
            <w:tcW w:type="dxa" w:w="15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230,000</w:t>
            </w:r>
          </w:p>
        </w:tc>
        <w:tc>
          <w:tcPr>
            <w:tcW w:type="dxa" w:w="10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5%</w:t>
            </w:r>
          </w:p>
        </w:tc>
        <w:tc>
          <w:tcPr>
            <w:tcW w:type="dxa" w:w="3600"/>
            <w:shd w:fill="FBFBF9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Union agreements, anchor distributors, launch at $46,000 per hub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G&amp;A, regulatory and contingency</w:t>
            </w:r>
          </w:p>
        </w:tc>
        <w:tc>
          <w:tcPr>
            <w:tcW w:type="dxa" w:w="15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650,000</w:t>
            </w:r>
          </w:p>
        </w:tc>
        <w:tc>
          <w:tcPr>
            <w:tcW w:type="dxa" w:w="10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14%</w:t>
            </w:r>
          </w:p>
        </w:tc>
        <w:tc>
          <w:tcPr>
            <w:tcW w:type="dxa" w:w="3600"/>
            <w:shd w:fill="FFFFFF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color w:val="0B0B0B"/>
                <w:sz w:val="15"/>
                <w:szCs w:val="15"/>
              </w:rPr>
              <w:t xml:space="preserve">Two-country entity, NDPA and Ghana DPA, audit, buffer</w:t>
            </w:r>
          </w:p>
        </w:tc>
      </w:tr>
      <w:tr>
        <w:tc>
          <w:tcPr>
            <w:tcW w:type="dxa" w:w="32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Total</w:t>
            </w:r>
          </w:p>
        </w:tc>
        <w:tc>
          <w:tcPr>
            <w:tcW w:type="dxa" w:w="15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4,500,000</w:t>
            </w:r>
          </w:p>
        </w:tc>
        <w:tc>
          <w:tcPr>
            <w:tcW w:type="dxa" w:w="10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righ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100%</w:t>
            </w:r>
          </w:p>
        </w:tc>
        <w:tc>
          <w:tcPr>
            <w:tcW w:type="dxa" w:w="3600"/>
            <w:shd w:fill="F6F5F1" w:color="auto" w:val="clear"/>
            <w:tcMar>
              <w:top w:type="dxa" w:w="78"/>
              <w:left w:type="dxa" w:w="110"/>
              <w:bottom w:type="dxa" w:w="78"/>
              <w:right w:type="dxa" w:w="110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5"/>
                <w:szCs w:val="15"/>
              </w:rPr>
              <w:t xml:space="preserve">30% goes to hub activation and field operations</w:t>
            </w:r>
          </w:p>
        </w:tc>
      </w:tr>
    </w:tbl>
    <w:p>
      <w:pPr>
        <w:spacing w:after="95"/>
      </w:pPr>
    </w:p>
    <w:p>
      <w:pPr>
        <w:keepNext/>
        <w:spacing w:after="70" w:before="165"/>
      </w:pPr>
      <w:r>
        <w:rPr>
          <w:rFonts w:ascii="Arial" w:cs="Arial" w:eastAsia="Arial" w:hAnsi="Arial"/>
          <w:b/>
          <w:bCs/>
          <w:color w:val="0B0B0B"/>
          <w:sz w:val="20"/>
          <w:szCs w:val="20"/>
        </w:rPr>
        <w:t xml:space="preserve">Milestones the seed buys</w:t>
      </w:r>
    </w:p>
    <w:p>
      <w:pPr>
        <w:pStyle w:val="ListParagraph"/>
        <w:numPr>
          <w:ilvl w:val="0"/>
          <w:numId w:val="2"/>
        </w:numPr>
        <w:spacing w:after="60" w:line="245"/>
        <w:jc w:val="left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Five hubs live and settling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with published settlement success rate and median time to distributor payout.</w:t>
      </w:r>
    </w:p>
    <w:p>
      <w:pPr>
        <w:pStyle w:val="ListParagraph"/>
        <w:numPr>
          <w:ilvl w:val="0"/>
          <w:numId w:val="2"/>
        </w:numPr>
        <w:spacing w:after="60" w:line="245"/>
        <w:jc w:val="left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620 distributors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with stock in the Virtual Warehouse Ledger and </w:t>
      </w: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19,500 transacting merchants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on $27.6m of settled GMV.</w:t>
      </w:r>
    </w:p>
    <w:p>
      <w:pPr>
        <w:pStyle w:val="ListParagraph"/>
        <w:numPr>
          <w:ilvl w:val="0"/>
          <w:numId w:val="2"/>
        </w:numPr>
        <w:spacing w:after="60" w:line="245"/>
        <w:jc w:val="left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A credit facility signed and a 500-merchant pilot book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with measured loss performance — the validation gate for the largest margin line.</w:t>
      </w:r>
    </w:p>
    <w:p>
      <w:pPr>
        <w:pStyle w:val="ListParagraph"/>
        <w:numPr>
          <w:ilvl w:val="0"/>
          <w:numId w:val="2"/>
        </w:numPr>
        <w:spacing w:after="60" w:line="245"/>
        <w:jc w:val="left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Two paying manufacturer telemetry contracts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, proving the second margin engine.</w:t>
      </w:r>
    </w:p>
    <w:p>
      <w:pPr>
        <w:pStyle w:val="ListParagraph"/>
        <w:numPr>
          <w:ilvl w:val="0"/>
          <w:numId w:val="2"/>
        </w:numPr>
        <w:spacing w:after="60" w:line="245"/>
        <w:jc w:val="left"/>
      </w:pPr>
      <w:r>
        <w:rPr>
          <w:rFonts w:ascii="Georgia" w:cs="Georgia" w:eastAsia="Georgia" w:hAnsi="Georgia"/>
          <w:b/>
          <w:bCs/>
          <w:color w:val="0B0B0B"/>
          <w:sz w:val="18"/>
          <w:szCs w:val="18"/>
        </w:rPr>
        <w:t xml:space="preserve">Hub three activated by a team rather than the founders</w:t>
      </w:r>
      <w:r>
        <w:rPr>
          <w:rFonts w:ascii="Georgia" w:cs="Georgia" w:eastAsia="Georgia" w:hAnsi="Georgia"/>
          <w:color w:val="0B0B0B"/>
          <w:sz w:val="18"/>
          <w:szCs w:val="18"/>
        </w:rPr>
        <w:t xml:space="preserve"> — the single most important proof point for the expansion case.</w:t>
      </w:r>
    </w:p>
    <w:p>
      <w:pPr>
        <w:spacing w:after="95"/>
      </w:pPr>
    </w:p>
    <w:tbl>
      <w:tblPr>
        <w:tblW w:type="dxa" w:w="9880"/>
        <w:tblBorders>
          <w:top w:val="single" w:color="FDF0EA" w:sz="2"/>
          <w:left w:val="single" w:color="EB6834" w:sz="16"/>
          <w:bottom w:val="single" w:color="FDF0EA" w:sz="2"/>
          <w:right w:val="single" w:color="FDF0EA" w:sz="2"/>
          <w:insideH w:val="none" w:color="FFFFFF" w:sz="0"/>
          <w:insideV w:val="none" w:color="FFFFFF" w:sz="0"/>
        </w:tblBorders>
      </w:tblPr>
      <w:tblGrid>
        <w:gridCol w:w="9880"/>
      </w:tblGrid>
      <w:tr>
        <w:tc>
          <w:tcPr>
            <w:tcW w:type="dxa" w:w="9880"/>
            <w:shd w:fill="FDF0E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B6834"/>
                <w:sz w:val="16"/>
                <w:szCs w:val="16"/>
              </w:rPr>
              <w:t xml:space="preserve">Stated plainly, because a reader will find these anyway</w:t>
            </w:r>
          </w:p>
          <w:p>
            <w:pPr>
              <w:spacing w:after="80" w:line="25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The bear case does not reach profitability.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 $12.7m of Year-5 revenue against a $3.1m EBITDA loss and a $4.1m peak burn. A field-operations cost base cannot be cut as fast as revenue disappoints. That is a company needing a third round, and the plan says so rather than engineering a downside that conveniently survives.</w:t>
            </w:r>
          </w:p>
          <w:p>
            <w:pPr>
              <w:spacing w:after="80" w:line="25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The headline 5% split has been corrected down to 2.4–2.6% net.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 FMCG channel margins are single-digit; a permanent 5% extraction from distributor margin is not payable. Roughly half is returned as volume rebate and manufacturer-funded promotion. Any model showing 5% of GMV as revenue has not asked who pays it.</w:t>
            </w:r>
          </w:p>
          <w:p>
            <w:pPr>
              <w:spacing w:after="0" w:line="250"/>
              <w:jc w:val="both"/>
            </w:pPr>
            <w:r>
              <w:rPr>
                <w:rFonts w:ascii="Georgia" w:cs="Georgia" w:eastAsia="Georgia" w:hAnsi="Georgia"/>
                <w:b/>
                <w:bCs/>
                <w:color w:val="0B0B0B"/>
                <w:sz w:val="18"/>
                <w:szCs w:val="18"/>
              </w:rPr>
              <w:t xml:space="preserve">OmniRetail could do this.</w:t>
            </w:r>
            <w:r>
              <w:rPr>
                <w:rFonts w:ascii="Georgia" w:cs="Georgia" w:eastAsia="Georgia" w:hAnsi="Georgia"/>
                <w:color w:val="0B0B0B"/>
                <w:sz w:val="18"/>
                <w:szCs w:val="18"/>
              </w:rPr>
              <w:t xml:space="preserve"> Profitable, funded, already in Nigeria and Ghana. The restraint is that open settlement would cannibalise its own 9% gross-margin business — a real restraint, not a guarantee. It is why the seed funds five hubs quickly rather than two slowly.</w:t>
            </w:r>
          </w:p>
        </w:tc>
      </w:tr>
    </w:tbl>
    <w:p>
      <w:pPr>
        <w:spacing w:after="60"/>
      </w:pPr>
    </w:p>
    <w:p>
      <w:pPr>
        <w:pBdr>
          <w:top w:val="single" w:color="EB6834" w:sz="8" w:space="10"/>
        </w:pBdr>
        <w:spacing w:after="40" w:before="60"/>
      </w:pPr>
      <w:r>
        <w:rPr>
          <w:rFonts w:ascii="Arial" w:cs="Arial" w:eastAsia="Arial" w:hAnsi="Arial"/>
          <w:b/>
          <w:bCs/>
          <w:color w:val="0B0B0B"/>
          <w:sz w:val="19"/>
          <w:szCs w:val="19"/>
        </w:rPr>
        <w:t xml:space="preserve">Boroji Adebayo-Hopewell</w:t>
      </w:r>
      <w:r>
        <w:rPr>
          <w:rFonts w:ascii="Arial" w:cs="Arial" w:eastAsia="Arial" w:hAnsi="Arial"/>
          <w:color w:val="52514E"/>
          <w:sz w:val="16"/>
          <w:szCs w:val="16"/>
        </w:rPr>
        <w:t xml:space="preserve">   ·   Digital Fusion Labs   ·   hello@digitalfusionlabs.com   ·   openmarket.africa</w:t>
      </w:r>
    </w:p>
    <w:p>
      <w:pPr>
        <w:spacing w:after="0" w:line="242"/>
        <w:jc w:val="both"/>
      </w:pPr>
      <w:r>
        <w:rPr>
          <w:rFonts w:ascii="Georgia" w:cs="Georgia" w:eastAsia="Georgia" w:hAnsi="Georgia"/>
          <w:color w:val="8A8983"/>
          <w:sz w:val="15"/>
          <w:szCs w:val="15"/>
        </w:rPr>
        <w:t xml:space="preserve">Full 119-page plan, model and technical specification available on request. © 2026 Digital Fusion Labs. Forward-looking figures are modelled estimates on labelled assumptions, not forecasts.</w:t>
      </w:r>
    </w:p>
    <w:sectPr>
      <w:footerReference w:type="default" r:id="rId7"/>
      <w:pgSz w:w="12240" w:h="15840" w:orient="portrait"/>
      <w:pgMar w:top="900" w:right="1180" w:bottom="780" w:left="1180" w:header="708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center"/>
    </w:pPr>
    <w:r>
      <w:rPr>
        <w:rFonts w:ascii="Arial" w:cs="Arial" w:eastAsia="Arial" w:hAnsi="Arial"/>
        <w:color w:val="8A8983"/>
        <w:sz w:val="12"/>
        <w:szCs w:val="12"/>
      </w:rPr>
      <w:t xml:space="preserve">OpenMarket Africa · Digital Fusion Labs · Boroji Adebayo-Hopewell · hello@digitalfusionlabs.com · openmarket.africa · </w:t>
    </w:r>
    <w:r>
      <w:rPr>
        <w:rFonts w:ascii="Arial" w:cs="Arial" w:eastAsia="Arial" w:hAnsi="Arial"/>
        <w:b/>
        <w:bCs/>
        <w:color w:val="52514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983"/>
        <w:sz w:val="12"/>
        <w:szCs w:val="12"/>
      </w:rPr>
      <w:t xml:space="preserve"> of </w:t>
    </w:r>
    <w:r>
      <w:rPr>
        <w:rFonts w:ascii="Arial" w:cs="Arial" w:eastAsia="Arial" w:hAnsi="Arial"/>
        <w:color w:val="8A8983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  <w:rPr>
        <w:rFonts w:ascii="Georgia" w:cs="Georgia" w:eastAsia="Georgia" w:hAnsi="Georgia"/>
        <w:color w:val="EB683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B0B0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OpenMarket Africa — Investor Brief</dc:title>
  <dc:subject>Seed round, commerce coordination infrastructure for African open markets</dc:subject>
  <dc:creator>Boroji Adebayo-Hopewell</dc:creator>
  <dc:description>Digital Fusion Labs. Investor brief accompanying the full business plan.</dc:description>
  <cp:lastModifiedBy>Un-named</cp:lastModifiedBy>
  <cp:revision>1</cp:revision>
  <dcterms:created xsi:type="dcterms:W3CDTF">2026-07-29T10:57:28.645Z</dcterms:created>
  <dcterms:modified xsi:type="dcterms:W3CDTF">2026-07-29T10:57:28.645Z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