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B0B0B"/>
          <w:sz w:val="40"/>
          <w:szCs w:val="40"/>
        </w:rPr>
        <w:t xml:space="preserve">OpenMarket</w:t>
      </w:r>
      <w:r>
        <w:rPr>
          <w:rFonts w:ascii="Arial" w:cs="Arial" w:eastAsia="Arial" w:hAnsi="Arial"/>
          <w:b/>
          <w:bCs/>
          <w:color w:val="EB6834"/>
          <w:spacing w:val="60"/>
          <w:sz w:val="22"/>
          <w:szCs w:val="22"/>
        </w:rPr>
        <w:t xml:space="preserve"> AFRICA</w:t>
      </w:r>
      <w:r>
        <w:rPr>
          <w:rFonts w:ascii="Georgia" w:cs="Georgia" w:eastAsia="Georgia" w:hAnsi="Georgia"/>
          <w:i/>
          <w:iCs/>
          <w:color w:val="52514E"/>
          <w:sz w:val="17"/>
          <w:szCs w:val="17"/>
        </w:rPr>
        <w:t xml:space="preserve">    Where Africa's open markets meet verified commerce</w:t>
      </w:r>
    </w:p>
    <w:p>
      <w:pPr>
        <w:pBdr>
          <w:bottom w:val="single" w:color="EB6834" w:sz="12" w:space="8"/>
        </w:pBdr>
        <w:spacing w:after="130"/>
      </w:pPr>
      <w:r>
        <w:rPr>
          <w:rFonts w:ascii="Arial" w:cs="Arial" w:eastAsia="Arial" w:hAnsi="Arial"/>
          <w:color w:val="8A8983"/>
          <w:sz w:val="15"/>
          <w:szCs w:val="15"/>
        </w:rPr>
        <w:t xml:space="preserve">Digital Fusion Labs  ·  Manufacturer brief · July 2026</w:t>
      </w:r>
    </w:p>
    <w:p>
      <w:pPr>
        <w:spacing w:after="70" w:before="130"/>
      </w:pPr>
      <w:r>
        <w:rPr>
          <w:rFonts w:ascii="Arial" w:cs="Arial" w:eastAsia="Arial" w:hAnsi="Arial"/>
          <w:b/>
          <w:bCs/>
          <w:color w:val="0B0B0B"/>
          <w:sz w:val="26"/>
          <w:szCs w:val="26"/>
        </w:rPr>
        <w:t xml:space="preserve">See what actually sells, below your distributor tier</w:t>
      </w:r>
    </w:p>
    <w:p>
      <w:pPr>
        <w:spacing w:after="150" w:line="242"/>
        <w:jc w:val="both"/>
      </w:pPr>
      <w:r>
        <w:rPr>
          <w:rFonts w:ascii="Georgia" w:cs="Georgia" w:eastAsia="Georgia" w:hAnsi="Georgia"/>
          <w:color w:val="52514E"/>
          <w:sz w:val="19"/>
          <w:szCs w:val="19"/>
        </w:rPr>
        <w:t xml:space="preserve">You know precisely what you shipped to your key distributors. Below that line, visibility ends. You do not know which of Nigeria's 745,000 outlets carry you this week, whether your promotion reached a shelf or a warehouse, or why one local government area is growing while the one beside it is not. OpenMarket settles trade between wholesalers and retailers in Africa's open markets — and that settlement produces a continuous, verified record of what actually moved.</w:t>
      </w:r>
    </w:p>
    <w:tbl>
      <w:tblPr>
        <w:tblW w:type="dxa" w:w="9880"/>
        <w:tblBorders>
          <w:top w:val="none" w:color="FFFFFF" w:sz="0"/>
          <w:left w:val="none" w:color="FFFFFF" w:sz="0"/>
          <w:bottom w:val="none" w:color="FFFFFF" w:sz="0"/>
          <w:right w:val="none" w:color="FFFFFF" w:sz="0"/>
          <w:insideH w:val="none" w:color="FFFFFF" w:sz="0"/>
          <w:insideV w:val="single" w:color="FFFFFF" w:sz="6"/>
        </w:tblBorders>
      </w:tblPr>
      <w:tblGrid>
        <w:gridCol w:w="2470"/>
        <w:gridCol w:w="2470"/>
        <w:gridCol w:w="2470"/>
        <w:gridCol w:w="2470"/>
      </w:tblGrid>
      <w:tr>
        <w:tc>
          <w:tcPr>
            <w:tcW w:type="dxa" w:w="2470"/>
            <w:shd w:fill="E8F1FD" w:color="auto" w:val="clear"/>
            <w:tcMar>
              <w:top w:type="dxa" w:w="130"/>
              <w:left w:type="dxa" w:w="110"/>
              <w:bottom w:type="dxa" w:w="130"/>
              <w:right w:type="dxa" w:w="110"/>
            </w:tcMar>
          </w:tcPr>
          <w:p>
            <w:pPr>
              <w:spacing w:after="40"/>
              <w:jc w:val="center"/>
            </w:pPr>
            <w:r>
              <w:rPr>
                <w:rFonts w:ascii="Arial" w:cs="Arial" w:eastAsia="Arial" w:hAnsi="Arial"/>
                <w:b/>
                <w:bCs/>
                <w:color w:val="2A78D6"/>
                <w:sz w:val="26"/>
                <w:szCs w:val="26"/>
              </w:rPr>
              <w:t xml:space="preserve">70%</w:t>
            </w:r>
          </w:p>
          <w:p>
            <w:pPr>
              <w:spacing w:after="0"/>
              <w:jc w:val="center"/>
            </w:pPr>
            <w:r>
              <w:rPr>
                <w:rFonts w:ascii="Arial" w:cs="Arial" w:eastAsia="Arial" w:hAnsi="Arial"/>
                <w:color w:val="52514E"/>
                <w:sz w:val="13"/>
                <w:szCs w:val="13"/>
              </w:rPr>
              <w:t xml:space="preserve">OF FMCG MOVES VIA OPEN MARKETS</w:t>
            </w:r>
          </w:p>
        </w:tc>
        <w:tc>
          <w:tcPr>
            <w:tcW w:type="dxa" w:w="2470"/>
            <w:shd w:fill="E8F1FD" w:color="auto" w:val="clear"/>
            <w:tcMar>
              <w:top w:type="dxa" w:w="130"/>
              <w:left w:type="dxa" w:w="110"/>
              <w:bottom w:type="dxa" w:w="130"/>
              <w:right w:type="dxa" w:w="110"/>
            </w:tcMar>
          </w:tcPr>
          <w:p>
            <w:pPr>
              <w:spacing w:after="40"/>
              <w:jc w:val="center"/>
            </w:pPr>
            <w:r>
              <w:rPr>
                <w:rFonts w:ascii="Arial" w:cs="Arial" w:eastAsia="Arial" w:hAnsi="Arial"/>
                <w:b/>
                <w:bCs/>
                <w:color w:val="2A78D6"/>
                <w:sz w:val="26"/>
                <w:szCs w:val="26"/>
              </w:rPr>
              <w:t xml:space="preserve">Weekly</w:t>
            </w:r>
          </w:p>
          <w:p>
            <w:pPr>
              <w:spacing w:after="0"/>
              <w:jc w:val="center"/>
            </w:pPr>
            <w:r>
              <w:rPr>
                <w:rFonts w:ascii="Arial" w:cs="Arial" w:eastAsia="Arial" w:hAnsi="Arial"/>
                <w:color w:val="52514E"/>
                <w:sz w:val="13"/>
                <w:szCs w:val="13"/>
              </w:rPr>
              <w:t xml:space="preserve">TELEMETRY CADENCE</w:t>
            </w:r>
          </w:p>
        </w:tc>
        <w:tc>
          <w:tcPr>
            <w:tcW w:type="dxa" w:w="2470"/>
            <w:shd w:fill="E8F1FD" w:color="auto" w:val="clear"/>
            <w:tcMar>
              <w:top w:type="dxa" w:w="130"/>
              <w:left w:type="dxa" w:w="110"/>
              <w:bottom w:type="dxa" w:w="130"/>
              <w:right w:type="dxa" w:w="110"/>
            </w:tcMar>
          </w:tcPr>
          <w:p>
            <w:pPr>
              <w:spacing w:after="40"/>
              <w:jc w:val="center"/>
            </w:pPr>
            <w:r>
              <w:rPr>
                <w:rFonts w:ascii="Arial" w:cs="Arial" w:eastAsia="Arial" w:hAnsi="Arial"/>
                <w:b/>
                <w:bCs/>
                <w:color w:val="2A78D6"/>
                <w:sz w:val="26"/>
                <w:szCs w:val="26"/>
              </w:rPr>
              <w:t xml:space="preserve">Cluster</w:t>
            </w:r>
          </w:p>
          <w:p>
            <w:pPr>
              <w:spacing w:after="0"/>
              <w:jc w:val="center"/>
            </w:pPr>
            <w:r>
              <w:rPr>
                <w:rFonts w:ascii="Arial" w:cs="Arial" w:eastAsia="Arial" w:hAnsi="Arial"/>
                <w:color w:val="52514E"/>
                <w:sz w:val="13"/>
                <w:szCs w:val="13"/>
              </w:rPr>
              <w:t xml:space="preserve">RESOLUTION, NOT NATIONAL</w:t>
            </w:r>
          </w:p>
        </w:tc>
        <w:tc>
          <w:tcPr>
            <w:tcW w:type="dxa" w:w="2470"/>
            <w:shd w:fill="E8F1FD" w:color="auto" w:val="clear"/>
            <w:tcMar>
              <w:top w:type="dxa" w:w="130"/>
              <w:left w:type="dxa" w:w="110"/>
              <w:bottom w:type="dxa" w:w="130"/>
              <w:right w:type="dxa" w:w="110"/>
            </w:tcMar>
          </w:tcPr>
          <w:p>
            <w:pPr>
              <w:spacing w:after="40"/>
              <w:jc w:val="center"/>
            </w:pPr>
            <w:r>
              <w:rPr>
                <w:rFonts w:ascii="Arial" w:cs="Arial" w:eastAsia="Arial" w:hAnsi="Arial"/>
                <w:b/>
                <w:bCs/>
                <w:color w:val="2A78D6"/>
                <w:sz w:val="26"/>
                <w:szCs w:val="26"/>
              </w:rPr>
              <w:t xml:space="preserve">Verified</w:t>
            </w:r>
          </w:p>
          <w:p>
            <w:pPr>
              <w:spacing w:after="0"/>
              <w:jc w:val="center"/>
            </w:pPr>
            <w:r>
              <w:rPr>
                <w:rFonts w:ascii="Arial" w:cs="Arial" w:eastAsia="Arial" w:hAnsi="Arial"/>
                <w:color w:val="52514E"/>
                <w:sz w:val="13"/>
                <w:szCs w:val="13"/>
              </w:rPr>
              <w:t xml:space="preserve">PROMOTION EFFECT</w:t>
            </w:r>
          </w:p>
        </w:tc>
      </w:tr>
    </w:tbl>
    <w:p>
      <w:pPr>
        <w:spacing w:after="110"/>
      </w:pPr>
    </w:p>
    <w:p>
      <w:pPr>
        <w:keepNext/>
        <w:spacing w:after="70" w:before="165"/>
      </w:pPr>
      <w:r>
        <w:rPr>
          <w:rFonts w:ascii="Arial" w:cs="Arial" w:eastAsia="Arial" w:hAnsi="Arial"/>
          <w:b/>
          <w:bCs/>
          <w:color w:val="0B0B0B"/>
          <w:sz w:val="20"/>
          <w:szCs w:val="20"/>
        </w:rPr>
        <w:t xml:space="preserve">The blind spot, quantified</w:t>
      </w:r>
    </w:p>
    <w:p>
      <w:pPr>
        <w:spacing w:after="92" w:line="242"/>
        <w:jc w:val="both"/>
      </w:pPr>
      <w:r>
        <w:rPr>
          <w:rFonts w:ascii="Georgia" w:cs="Georgia" w:eastAsia="Georgia" w:hAnsi="Georgia"/>
          <w:b/>
          <w:bCs/>
          <w:color w:val="0B0B0B"/>
          <w:sz w:val="18"/>
          <w:szCs w:val="18"/>
        </w:rPr>
        <w:t xml:space="preserve">Only 30% of FMCG reaches retailers directly from manufacturers. The other 70% moves through wholesale markets</w:t>
      </w:r>
      <w:r>
        <w:rPr>
          <w:rFonts w:ascii="Georgia" w:cs="Georgia" w:eastAsia="Georgia" w:hAnsi="Georgia"/>
          <w:color w:val="0B0B0B"/>
          <w:sz w:val="18"/>
          <w:szCs w:val="18"/>
        </w:rPr>
        <w:t xml:space="preserve"> — Onitsha, Alaba, Mile 12, Idumota, Kejetia — where no measurement layer exists. Nielsen's African work shows what that opacity conceals: </w:t>
      </w:r>
      <w:r>
        <w:rPr>
          <w:rFonts w:ascii="Georgia" w:cs="Georgia" w:eastAsia="Georgia" w:hAnsi="Georgia"/>
          <w:b/>
          <w:bCs/>
          <w:color w:val="0B0B0B"/>
          <w:sz w:val="18"/>
          <w:szCs w:val="18"/>
        </w:rPr>
        <w:t xml:space="preserve">50% of Lagos laundry detergent sales are concentrated in 10% of the outlets that stock it</w:t>
      </w:r>
      <w:r>
        <w:rPr>
          <w:rFonts w:ascii="Georgia" w:cs="Georgia" w:eastAsia="Georgia" w:hAnsi="Georgia"/>
          <w:color w:val="0B0B0B"/>
          <w:sz w:val="18"/>
          <w:szCs w:val="18"/>
        </w:rPr>
        <w:t xml:space="preserve">, roughly 10,000 of 100,000, and about </w:t>
      </w:r>
      <w:r>
        <w:rPr>
          <w:rFonts w:ascii="Georgia" w:cs="Georgia" w:eastAsia="Georgia" w:hAnsi="Georgia"/>
          <w:b/>
          <w:bCs/>
          <w:color w:val="0B0B0B"/>
          <w:sz w:val="18"/>
          <w:szCs w:val="18"/>
        </w:rPr>
        <w:t xml:space="preserve">80% of beverage sales happen in 40% of the outlets carrying them</w:t>
      </w:r>
      <w:r>
        <w:rPr>
          <w:rFonts w:ascii="Georgia" w:cs="Georgia" w:eastAsia="Georgia" w:hAnsi="Georgia"/>
          <w:color w:val="0B0B0B"/>
          <w:sz w:val="18"/>
          <w:szCs w:val="18"/>
        </w:rPr>
        <w:t xml:space="preserve">.</w:t>
      </w:r>
    </w:p>
    <w:p>
      <w:pPr>
        <w:spacing w:after="92" w:line="242"/>
        <w:jc w:val="both"/>
      </w:pPr>
      <w:r>
        <w:rPr>
          <w:rFonts w:ascii="Georgia" w:cs="Georgia" w:eastAsia="Georgia" w:hAnsi="Georgia"/>
          <w:color w:val="0B0B0B"/>
          <w:sz w:val="18"/>
          <w:szCs w:val="18"/>
        </w:rPr>
        <w:t xml:space="preserve">The tools available today are field-force audits and panel research. Both are expensive, both are periodic, both are sampled, and both tell you what happened last quarter. Neither can tell you whether the case-stacking allowance you funded in Aba last month reached a shelf.</w:t>
      </w:r>
    </w:p>
    <w:p>
      <w:pPr>
        <w:keepNext/>
        <w:spacing w:after="70" w:before="165"/>
      </w:pPr>
      <w:r>
        <w:rPr>
          <w:rFonts w:ascii="Arial" w:cs="Arial" w:eastAsia="Arial" w:hAnsi="Arial"/>
          <w:b/>
          <w:bCs/>
          <w:color w:val="0B0B0B"/>
          <w:sz w:val="20"/>
          <w:szCs w:val="20"/>
        </w:rPr>
        <w:t xml:space="preserve">What OpenMarket produces, and why it is different</w:t>
      </w:r>
    </w:p>
    <w:p>
      <w:pPr>
        <w:spacing w:after="92" w:line="242"/>
        <w:jc w:val="both"/>
      </w:pPr>
      <w:r>
        <w:rPr>
          <w:rFonts w:ascii="Georgia" w:cs="Georgia" w:eastAsia="Georgia" w:hAnsi="Georgia"/>
          <w:color w:val="0B0B0B"/>
          <w:sz w:val="18"/>
          <w:szCs w:val="18"/>
        </w:rPr>
        <w:t xml:space="preserve">Because the platform verifies payment before goods move and records a programmatic ledger split on every order, every transaction is </w:t>
      </w:r>
      <w:r>
        <w:rPr>
          <w:rFonts w:ascii="Georgia" w:cs="Georgia" w:eastAsia="Georgia" w:hAnsi="Georgia"/>
          <w:b/>
          <w:bCs/>
          <w:color w:val="0B0B0B"/>
          <w:sz w:val="18"/>
          <w:szCs w:val="18"/>
        </w:rPr>
        <w:t xml:space="preserve">settled, itemised, timestamped and geographically resolved</w:t>
      </w:r>
      <w:r>
        <w:rPr>
          <w:rFonts w:ascii="Georgia" w:cs="Georgia" w:eastAsia="Georgia" w:hAnsi="Georgia"/>
          <w:color w:val="0B0B0B"/>
          <w:sz w:val="18"/>
          <w:szCs w:val="18"/>
        </w:rPr>
        <w:t xml:space="preserve"> — not surveyed, not estimated, not recalled. Aggregating that produces a demand signal by local government area, by SKU, by week.</w:t>
      </w:r>
    </w:p>
    <w:tbl>
      <w:tblPr>
        <w:tblW w:type="dxa" w:w="9880"/>
        <w:tblBorders>
          <w:top w:val="single" w:color="D8D7D2" w:sz="4"/>
          <w:left w:val="none" w:color="FFFFFF" w:sz="0"/>
          <w:bottom w:val="single" w:color="D8D7D2" w:sz="4"/>
          <w:right w:val="none" w:color="FFFFFF" w:sz="0"/>
          <w:insideH w:val="single" w:color="D8D7D2" w:sz="2"/>
          <w:insideV w:val="none" w:color="FFFFFF" w:sz="0"/>
        </w:tblBorders>
      </w:tblPr>
      <w:tblGrid>
        <w:gridCol w:w="2600"/>
        <w:gridCol w:w="3400"/>
        <w:gridCol w:w="3880"/>
      </w:tblGrid>
      <w:tr>
        <w:trPr>
          <w:tblHeader/>
        </w:trPr>
        <w:tc>
          <w:tcPr>
            <w:tcW w:type="dxa" w:w="260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Dimension</w:t>
            </w:r>
          </w:p>
        </w:tc>
        <w:tc>
          <w:tcPr>
            <w:tcW w:type="dxa" w:w="340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Field audit or panel today</w:t>
            </w:r>
          </w:p>
        </w:tc>
        <w:tc>
          <w:tcPr>
            <w:tcW w:type="dxa" w:w="388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OpenMarket telemetry</w:t>
            </w:r>
          </w:p>
        </w:tc>
      </w:tr>
      <w:tr>
        <w:tc>
          <w:tcPr>
            <w:tcW w:type="dxa" w:w="26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Basis</w:t>
            </w:r>
          </w:p>
        </w:tc>
        <w:tc>
          <w:tcPr>
            <w:tcW w:type="dxa" w:w="34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Sampled visits and recall</w:t>
            </w:r>
          </w:p>
        </w:tc>
        <w:tc>
          <w:tcPr>
            <w:tcW w:type="dxa" w:w="388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Settled transactions — money actually moved</w:t>
            </w:r>
          </w:p>
        </w:tc>
      </w:tr>
      <w:tr>
        <w:tc>
          <w:tcPr>
            <w:tcW w:type="dxa" w:w="26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Cadence</w:t>
            </w:r>
          </w:p>
        </w:tc>
        <w:tc>
          <w:tcPr>
            <w:tcW w:type="dxa" w:w="34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Monthly or quarterly</w:t>
            </w:r>
          </w:p>
        </w:tc>
        <w:tc>
          <w:tcPr>
            <w:tcW w:type="dxa" w:w="388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Weekly, continuous</w:t>
            </w:r>
          </w:p>
        </w:tc>
      </w:tr>
      <w:tr>
        <w:tc>
          <w:tcPr>
            <w:tcW w:type="dxa" w:w="26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Resolution</w:t>
            </w:r>
          </w:p>
        </w:tc>
        <w:tc>
          <w:tcPr>
            <w:tcW w:type="dxa" w:w="34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National or regional, sometimes city</w:t>
            </w:r>
          </w:p>
        </w:tc>
        <w:tc>
          <w:tcPr>
            <w:tcW w:type="dxa" w:w="388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Local government area cluster, by SKU</w:t>
            </w:r>
          </w:p>
        </w:tc>
      </w:tr>
      <w:tr>
        <w:tc>
          <w:tcPr>
            <w:tcW w:type="dxa" w:w="26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Coverage</w:t>
            </w:r>
          </w:p>
        </w:tc>
        <w:tc>
          <w:tcPr>
            <w:tcW w:type="dxa" w:w="34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The outlets the auditor reached</w:t>
            </w:r>
          </w:p>
        </w:tc>
        <w:tc>
          <w:tcPr>
            <w:tcW w:type="dxa" w:w="388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Every merchant transacting in an instrumented hub</w:t>
            </w:r>
          </w:p>
        </w:tc>
      </w:tr>
      <w:tr>
        <w:tc>
          <w:tcPr>
            <w:tcW w:type="dxa" w:w="26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Promotion measurement</w:t>
            </w:r>
          </w:p>
        </w:tc>
        <w:tc>
          <w:tcPr>
            <w:tcW w:type="dxa" w:w="34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Self-reported compliance</w:t>
            </w:r>
          </w:p>
        </w:tc>
        <w:tc>
          <w:tcPr>
            <w:tcW w:type="dxa" w:w="388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Settled units against a matched control cluster</w:t>
            </w:r>
          </w:p>
        </w:tc>
      </w:tr>
      <w:tr>
        <w:tc>
          <w:tcPr>
            <w:tcW w:type="dxa" w:w="26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Latency</w:t>
            </w:r>
          </w:p>
        </w:tc>
        <w:tc>
          <w:tcPr>
            <w:tcW w:type="dxa" w:w="34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Weeks after the period</w:t>
            </w:r>
          </w:p>
        </w:tc>
        <w:tc>
          <w:tcPr>
            <w:tcW w:type="dxa" w:w="388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Days</w:t>
            </w:r>
          </w:p>
        </w:tc>
      </w:tr>
      <w:tr>
        <w:tc>
          <w:tcPr>
            <w:tcW w:type="dxa" w:w="26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Cost</w:t>
            </w:r>
          </w:p>
        </w:tc>
        <w:tc>
          <w:tcPr>
            <w:tcW w:type="dxa" w:w="34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Field force, per visit</w:t>
            </w:r>
          </w:p>
        </w:tc>
        <w:tc>
          <w:tcPr>
            <w:tcW w:type="dxa" w:w="388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Licence, from $18,000 a year</w:t>
            </w:r>
          </w:p>
        </w:tc>
      </w:tr>
    </w:tbl>
    <w:p>
      <w:pPr>
        <w:spacing w:after="95"/>
      </w:pPr>
    </w:p>
    <w:p>
      <w:pPr>
        <w:keepNext/>
        <w:spacing w:after="70" w:before="165"/>
      </w:pPr>
      <w:r>
        <w:rPr>
          <w:rFonts w:ascii="Arial" w:cs="Arial" w:eastAsia="Arial" w:hAnsi="Arial"/>
          <w:b/>
          <w:bCs/>
          <w:color w:val="0B0B0B"/>
          <w:sz w:val="20"/>
          <w:szCs w:val="20"/>
        </w:rPr>
        <w:t xml:space="preserve">Two products</w:t>
      </w:r>
    </w:p>
    <w:p>
      <w:pPr>
        <w:spacing w:after="92" w:line="242"/>
        <w:jc w:val="both"/>
      </w:pPr>
      <w:r>
        <w:rPr>
          <w:rFonts w:ascii="Georgia" w:cs="Georgia" w:eastAsia="Georgia" w:hAnsi="Georgia"/>
          <w:b/>
          <w:bCs/>
          <w:color w:val="0B0B0B"/>
          <w:sz w:val="18"/>
          <w:szCs w:val="18"/>
        </w:rPr>
        <w:t xml:space="preserve">Demand telemetry.</w:t>
      </w:r>
      <w:r>
        <w:rPr>
          <w:rFonts w:ascii="Georgia" w:cs="Georgia" w:eastAsia="Georgia" w:hAnsi="Georgia"/>
          <w:color w:val="0B0B0B"/>
          <w:sz w:val="18"/>
          <w:szCs w:val="18"/>
        </w:rPr>
        <w:t xml:space="preserve"> A weekly feed and console showing units and value by cluster and SKU, with week-on-week movement, distribution breadth, and where your category is growing against where you are growing. Delivered by API or console. Priced from </w:t>
      </w:r>
      <w:r>
        <w:rPr>
          <w:rFonts w:ascii="Georgia" w:cs="Georgia" w:eastAsia="Georgia" w:hAnsi="Georgia"/>
          <w:b/>
          <w:bCs/>
          <w:color w:val="0B0B0B"/>
          <w:sz w:val="18"/>
          <w:szCs w:val="18"/>
        </w:rPr>
        <w:t xml:space="preserve">$18,000 a year</w:t>
      </w:r>
      <w:r>
        <w:rPr>
          <w:rFonts w:ascii="Georgia" w:cs="Georgia" w:eastAsia="Georgia" w:hAnsi="Georgia"/>
          <w:color w:val="0B0B0B"/>
          <w:sz w:val="18"/>
          <w:szCs w:val="18"/>
        </w:rPr>
        <w:t xml:space="preserve"> for a single-country, single-category licence — below the cost of one field-audit programme.</w:t>
      </w:r>
    </w:p>
    <w:p>
      <w:pPr>
        <w:spacing w:after="92" w:line="242"/>
        <w:jc w:val="both"/>
      </w:pPr>
      <w:r>
        <w:rPr>
          <w:rFonts w:ascii="Georgia" w:cs="Georgia" w:eastAsia="Georgia" w:hAnsi="Georgia"/>
          <w:b/>
          <w:bCs/>
          <w:color w:val="0B0B0B"/>
          <w:sz w:val="18"/>
          <w:szCs w:val="18"/>
        </w:rPr>
        <w:t xml:space="preserve">SmartSubsidy.</w:t>
      </w:r>
      <w:r>
        <w:rPr>
          <w:rFonts w:ascii="Georgia" w:cs="Georgia" w:eastAsia="Georgia" w:hAnsi="Georgia"/>
          <w:color w:val="0B0B0B"/>
          <w:sz w:val="18"/>
          <w:szCs w:val="18"/>
        </w:rPr>
        <w:t xml:space="preserve"> Promotional spend routed through the network to a defined target — a cluster, a SKU, a merchant segment — and settled at the point of transaction rather than claimed afterwards. Because the platform settles the underlying order, the uplift is measured against a matched control cluster rather than reported by the party spending the money. Platform fee is </w:t>
      </w:r>
      <w:r>
        <w:rPr>
          <w:rFonts w:ascii="Georgia" w:cs="Georgia" w:eastAsia="Georgia" w:hAnsi="Georgia"/>
          <w:b/>
          <w:bCs/>
          <w:color w:val="0B0B0B"/>
          <w:sz w:val="18"/>
          <w:szCs w:val="18"/>
        </w:rPr>
        <w:t xml:space="preserve">11% of subsidy value</w:t>
      </w:r>
      <w:r>
        <w:rPr>
          <w:rFonts w:ascii="Georgia" w:cs="Georgia" w:eastAsia="Georgia" w:hAnsi="Georgia"/>
          <w:color w:val="0B0B0B"/>
          <w:sz w:val="18"/>
          <w:szCs w:val="18"/>
        </w:rPr>
        <w:t xml:space="preserve">, and the subsidy reaches the retailer rather than evaporating in the channel.</w:t>
      </w:r>
    </w:p>
    <w:tbl>
      <w:tblPr>
        <w:tblW w:type="dxa" w:w="9880"/>
        <w:tblBorders>
          <w:top w:val="single" w:color="E2F5EE" w:sz="2"/>
          <w:left w:val="single" w:color="1BAF7A" w:sz="16"/>
          <w:bottom w:val="single" w:color="E2F5EE" w:sz="2"/>
          <w:right w:val="single" w:color="E2F5EE" w:sz="2"/>
          <w:insideH w:val="none" w:color="FFFFFF" w:sz="0"/>
          <w:insideV w:val="none" w:color="FFFFFF" w:sz="0"/>
        </w:tblBorders>
      </w:tblPr>
      <w:tblGrid>
        <w:gridCol w:w="9880"/>
      </w:tblGrid>
      <w:tr>
        <w:tc>
          <w:tcPr>
            <w:tcW w:type="dxa" w:w="9880"/>
            <w:shd w:fill="E2F5EE" w:color="auto" w:val="clear"/>
            <w:tcMar>
              <w:top w:type="dxa" w:w="150"/>
              <w:left w:type="dxa" w:w="200"/>
              <w:bottom w:type="dxa" w:w="150"/>
              <w:right w:type="dxa" w:w="200"/>
            </w:tcMar>
          </w:tcPr>
          <w:p>
            <w:pPr>
              <w:spacing w:after="80"/>
            </w:pPr>
            <w:r>
              <w:rPr>
                <w:rFonts w:ascii="Arial" w:cs="Arial" w:eastAsia="Arial" w:hAnsi="Arial"/>
                <w:b/>
                <w:bCs/>
                <w:color w:val="1BAF7A"/>
                <w:sz w:val="16"/>
                <w:szCs w:val="16"/>
              </w:rPr>
              <w:t xml:space="preserve">The constraint you should insist on, and that we will not relax</w:t>
            </w:r>
          </w:p>
          <w:p>
            <w:pPr>
              <w:spacing w:after="80" w:line="250"/>
              <w:jc w:val="both"/>
            </w:pPr>
            <w:r>
              <w:rPr>
                <w:rFonts w:ascii="Georgia" w:cs="Georgia" w:eastAsia="Georgia" w:hAnsi="Georgia"/>
                <w:b/>
                <w:bCs/>
                <w:color w:val="0B0B0B"/>
                <w:sz w:val="18"/>
                <w:szCs w:val="18"/>
              </w:rPr>
              <w:t xml:space="preserve">No merchant identity ever crosses the tier boundary.</w:t>
            </w:r>
            <w:r>
              <w:rPr>
                <w:rFonts w:ascii="Georgia" w:cs="Georgia" w:eastAsia="Georgia" w:hAnsi="Georgia"/>
                <w:color w:val="0B0B0B"/>
                <w:sz w:val="18"/>
                <w:szCs w:val="18"/>
              </w:rPr>
              <w:t xml:space="preserve"> You will not receive shop names, phone numbers, addresses or any identifier. Every aggregate we publish covers a minimum of twelve distinct merchants; below that threshold the record is not produced at all.</w:t>
            </w:r>
          </w:p>
          <w:p>
            <w:pPr>
              <w:spacing w:after="80" w:line="250"/>
              <w:jc w:val="both"/>
            </w:pPr>
            <w:r>
              <w:rPr>
                <w:rFonts w:ascii="Georgia" w:cs="Georgia" w:eastAsia="Georgia" w:hAnsi="Georgia"/>
                <w:color w:val="0B0B0B"/>
                <w:sz w:val="18"/>
                <w:szCs w:val="18"/>
              </w:rPr>
              <w:t xml:space="preserve">This is enforced in the system — the telemetry role has no database grant on the underlying order table — rather than in a contract that a future commercial conversation could renegotiate.</w:t>
            </w:r>
          </w:p>
          <w:p>
            <w:pPr>
              <w:spacing w:after="0" w:line="250"/>
              <w:jc w:val="both"/>
            </w:pPr>
            <w:r>
              <w:rPr>
                <w:rFonts w:ascii="Georgia" w:cs="Georgia" w:eastAsia="Georgia" w:hAnsi="Georgia"/>
                <w:color w:val="0B0B0B"/>
                <w:sz w:val="18"/>
                <w:szCs w:val="18"/>
              </w:rPr>
              <w:t xml:space="preserve">It is deliberately a commercial cost to us. Outlet-level data would sell for considerably more. We decline it permanently, because the moment a merchant learns that a manufacturer knows exactly what they stock, the settlement product loses the trust it is built on — and without that trust there is no data for anyone.</w:t>
            </w:r>
          </w:p>
        </w:tc>
      </w:tr>
    </w:tbl>
    <w:p>
      <w:pPr>
        <w:spacing w:after="95"/>
      </w:pPr>
    </w:p>
    <w:p>
      <w:pPr>
        <w:keepNext/>
        <w:spacing w:after="70" w:before="165"/>
      </w:pPr>
      <w:r>
        <w:rPr>
          <w:rFonts w:ascii="Arial" w:cs="Arial" w:eastAsia="Arial" w:hAnsi="Arial"/>
          <w:b/>
          <w:bCs/>
          <w:color w:val="0B0B0B"/>
          <w:sz w:val="20"/>
          <w:szCs w:val="20"/>
        </w:rPr>
        <w:t xml:space="preserve">Why a manufacturer should care about the settlement layer itself</w:t>
      </w:r>
    </w:p>
    <w:p>
      <w:pPr>
        <w:spacing w:after="92" w:line="242"/>
        <w:jc w:val="both"/>
      </w:pPr>
      <w:r>
        <w:rPr>
          <w:rFonts w:ascii="Georgia" w:cs="Georgia" w:eastAsia="Georgia" w:hAnsi="Georgia"/>
          <w:color w:val="0B0B0B"/>
          <w:sz w:val="18"/>
          <w:szCs w:val="18"/>
        </w:rPr>
        <w:t xml:space="preserve">Beyond measurement, three effects reach your P&amp;L directly.</w:t>
      </w:r>
    </w:p>
    <w:p>
      <w:pPr>
        <w:spacing w:after="92" w:line="242"/>
        <w:jc w:val="both"/>
      </w:pPr>
      <w:r>
        <w:rPr>
          <w:rFonts w:ascii="Georgia" w:cs="Georgia" w:eastAsia="Georgia" w:hAnsi="Georgia"/>
          <w:b/>
          <w:bCs/>
          <w:color w:val="0B0B0B"/>
          <w:sz w:val="18"/>
          <w:szCs w:val="18"/>
        </w:rPr>
        <w:t xml:space="preserve">Your distributors carry less credit risk.</w:t>
      </w:r>
      <w:r>
        <w:rPr>
          <w:rFonts w:ascii="Georgia" w:cs="Georgia" w:eastAsia="Georgia" w:hAnsi="Georgia"/>
          <w:color w:val="0B0B0B"/>
          <w:sz w:val="18"/>
          <w:szCs w:val="18"/>
        </w:rPr>
        <w:t xml:space="preserve"> They are paid 95% the moment funds settle, before goods leave the shed. A wholesaler who is not absorbing informal credit losses can price your goods more competitively and can serve buyers they would otherwise refuse.</w:t>
      </w:r>
    </w:p>
    <w:p>
      <w:pPr>
        <w:spacing w:after="92" w:line="242"/>
        <w:jc w:val="both"/>
      </w:pPr>
      <w:r>
        <w:rPr>
          <w:rFonts w:ascii="Georgia" w:cs="Georgia" w:eastAsia="Georgia" w:hAnsi="Georgia"/>
          <w:b/>
          <w:bCs/>
          <w:color w:val="0B0B0B"/>
          <w:sz w:val="18"/>
          <w:szCs w:val="18"/>
        </w:rPr>
        <w:t xml:space="preserve">Retailers stock out less.</w:t>
      </w:r>
      <w:r>
        <w:rPr>
          <w:rFonts w:ascii="Georgia" w:cs="Georgia" w:eastAsia="Georgia" w:hAnsi="Georgia"/>
          <w:color w:val="0B0B0B"/>
          <w:sz w:val="18"/>
          <w:szCs w:val="18"/>
        </w:rPr>
        <w:t xml:space="preserve"> The platform holds a shop stock ledger and issues reorder prompts from observed velocity. A retailer who restocks before the shelf empties sells more of your product and less of your competitor's substitute.</w:t>
      </w:r>
    </w:p>
    <w:p>
      <w:pPr>
        <w:spacing w:after="92" w:line="242"/>
        <w:jc w:val="both"/>
      </w:pPr>
      <w:r>
        <w:rPr>
          <w:rFonts w:ascii="Georgia" w:cs="Georgia" w:eastAsia="Georgia" w:hAnsi="Georgia"/>
          <w:b/>
          <w:bCs/>
          <w:color w:val="0B0B0B"/>
          <w:sz w:val="18"/>
          <w:szCs w:val="18"/>
        </w:rPr>
        <w:t xml:space="preserve">Trade expands beyond the walking radius.</w:t>
      </w:r>
      <w:r>
        <w:rPr>
          <w:rFonts w:ascii="Georgia" w:cs="Georgia" w:eastAsia="Georgia" w:hAnsi="Georgia"/>
          <w:color w:val="0B0B0B"/>
          <w:sz w:val="18"/>
          <w:szCs w:val="18"/>
        </w:rPr>
        <w:t xml:space="preserve"> The reason your reach stops where it does is that retailers cannot safely buy from wholesalers they have not met. Verified settlement removes that constraint, which is the single largest suppressed-volume effect in the channel.</w:t>
      </w:r>
    </w:p>
    <w:p>
      <w:pPr>
        <w:spacing w:after="95"/>
      </w:pPr>
    </w:p>
    <w:p>
      <w:pPr>
        <w:keepNext/>
        <w:spacing w:after="70" w:before="165"/>
      </w:pPr>
      <w:r>
        <w:rPr>
          <w:rFonts w:ascii="Arial" w:cs="Arial" w:eastAsia="Arial" w:hAnsi="Arial"/>
          <w:b/>
          <w:bCs/>
          <w:color w:val="0B0B0B"/>
          <w:sz w:val="20"/>
          <w:szCs w:val="20"/>
        </w:rPr>
        <w:t xml:space="preserve">What we propose</w:t>
      </w:r>
    </w:p>
    <w:p>
      <w:pPr>
        <w:pStyle w:val="ListParagraph"/>
        <w:numPr>
          <w:ilvl w:val="0"/>
          <w:numId w:val="2"/>
        </w:numPr>
        <w:spacing w:after="60" w:line="245"/>
        <w:jc w:val="left"/>
      </w:pPr>
      <w:r>
        <w:rPr>
          <w:rFonts w:ascii="Georgia" w:cs="Georgia" w:eastAsia="Georgia" w:hAnsi="Georgia"/>
          <w:b/>
          <w:bCs/>
          <w:color w:val="0B0B0B"/>
          <w:sz w:val="18"/>
          <w:szCs w:val="18"/>
        </w:rPr>
        <w:t xml:space="preserve">A single-hub pilot.</w:t>
      </w:r>
      <w:r>
        <w:rPr>
          <w:rFonts w:ascii="Georgia" w:cs="Georgia" w:eastAsia="Georgia" w:hAnsi="Georgia"/>
          <w:color w:val="0B0B0B"/>
          <w:sz w:val="18"/>
          <w:szCs w:val="18"/>
        </w:rPr>
        <w:t xml:space="preserve"> One market — Onitsha or Mile 12 — one category, ninety days. You receive the weekly feed and we agree in advance what would make it useful.</w:t>
      </w:r>
    </w:p>
    <w:p>
      <w:pPr>
        <w:pStyle w:val="ListParagraph"/>
        <w:numPr>
          <w:ilvl w:val="0"/>
          <w:numId w:val="2"/>
        </w:numPr>
        <w:spacing w:after="60" w:line="245"/>
        <w:jc w:val="left"/>
      </w:pPr>
      <w:r>
        <w:rPr>
          <w:rFonts w:ascii="Georgia" w:cs="Georgia" w:eastAsia="Georgia" w:hAnsi="Georgia"/>
          <w:b/>
          <w:bCs/>
          <w:color w:val="0B0B0B"/>
          <w:sz w:val="18"/>
          <w:szCs w:val="18"/>
        </w:rPr>
        <w:t xml:space="preserve">One SmartSubsidy campaign</w:t>
      </w:r>
      <w:r>
        <w:rPr>
          <w:rFonts w:ascii="Georgia" w:cs="Georgia" w:eastAsia="Georgia" w:hAnsi="Georgia"/>
          <w:color w:val="0B0B0B"/>
          <w:sz w:val="18"/>
          <w:szCs w:val="18"/>
        </w:rPr>
        <w:t xml:space="preserve"> against a matched control cluster, so the uplift is measured rather than asserted.</w:t>
      </w:r>
    </w:p>
    <w:p>
      <w:pPr>
        <w:pStyle w:val="ListParagraph"/>
        <w:numPr>
          <w:ilvl w:val="0"/>
          <w:numId w:val="2"/>
        </w:numPr>
        <w:spacing w:after="60" w:line="245"/>
        <w:jc w:val="left"/>
      </w:pPr>
      <w:r>
        <w:rPr>
          <w:rFonts w:ascii="Georgia" w:cs="Georgia" w:eastAsia="Georgia" w:hAnsi="Georgia"/>
          <w:b/>
          <w:bCs/>
          <w:color w:val="0B0B0B"/>
          <w:sz w:val="18"/>
          <w:szCs w:val="18"/>
        </w:rPr>
        <w:t xml:space="preserve">No commitment beyond the pilot.</w:t>
      </w:r>
      <w:r>
        <w:rPr>
          <w:rFonts w:ascii="Georgia" w:cs="Georgia" w:eastAsia="Georgia" w:hAnsi="Georgia"/>
          <w:color w:val="0B0B0B"/>
          <w:sz w:val="18"/>
          <w:szCs w:val="18"/>
        </w:rPr>
        <w:t xml:space="preserve"> If the telemetry does not tell you something your field data cannot, there is nothing further to discuss.</w:t>
      </w:r>
    </w:p>
    <w:p>
      <w:pPr>
        <w:spacing w:after="110"/>
      </w:pPr>
    </w:p>
    <w:p>
      <w:pPr>
        <w:spacing w:after="40" w:line="242"/>
        <w:jc w:val="both"/>
      </w:pPr>
      <w:r>
        <w:rPr>
          <w:rFonts w:ascii="Georgia" w:cs="Georgia" w:eastAsia="Georgia" w:hAnsi="Georgia"/>
          <w:color w:val="0B0B0B"/>
          <w:sz w:val="18"/>
          <w:szCs w:val="18"/>
        </w:rPr>
        <w:t xml:space="preserve">There is precedent for a manufacturer taking this seriously: </w:t>
      </w:r>
      <w:r>
        <w:rPr>
          <w:rFonts w:ascii="Georgia" w:cs="Georgia" w:eastAsia="Georgia" w:hAnsi="Georgia"/>
          <w:b/>
          <w:bCs/>
          <w:color w:val="0B0B0B"/>
          <w:sz w:val="18"/>
          <w:szCs w:val="18"/>
        </w:rPr>
        <w:t xml:space="preserve">Flour Mills of Nigeria</w:t>
      </w:r>
      <w:r>
        <w:rPr>
          <w:rFonts w:ascii="Georgia" w:cs="Georgia" w:eastAsia="Georgia" w:hAnsi="Georgia"/>
          <w:color w:val="0B0B0B"/>
          <w:sz w:val="18"/>
          <w:szCs w:val="18"/>
        </w:rPr>
        <w:t xml:space="preserve"> is an investor in OmniRetail, the one profitable operator in this sector, precisely because visibility below the distributor tier is worth more than it costs. We are proposing the measurement without asking you to take an equity position or change a single distributor relationship.</w:t>
      </w:r>
    </w:p>
    <w:p>
      <w:pPr>
        <w:pBdr>
          <w:top w:val="single" w:color="EB6834" w:sz="8" w:space="10"/>
        </w:pBdr>
        <w:spacing w:after="40" w:before="140"/>
      </w:pPr>
      <w:r>
        <w:rPr>
          <w:rFonts w:ascii="Arial" w:cs="Arial" w:eastAsia="Arial" w:hAnsi="Arial"/>
          <w:b/>
          <w:bCs/>
          <w:color w:val="0B0B0B"/>
          <w:sz w:val="19"/>
          <w:szCs w:val="19"/>
        </w:rPr>
        <w:t xml:space="preserve">Boroji Adebayo-Hopewell</w:t>
      </w:r>
      <w:r>
        <w:rPr>
          <w:rFonts w:ascii="Arial" w:cs="Arial" w:eastAsia="Arial" w:hAnsi="Arial"/>
          <w:color w:val="52514E"/>
          <w:sz w:val="16"/>
          <w:szCs w:val="16"/>
        </w:rPr>
        <w:t xml:space="preserve">   ·   Digital Fusion Labs   ·   hello@digitalfusionlabs.com   ·   openmarket.africa</w:t>
      </w:r>
    </w:p>
    <w:p>
      <w:pPr>
        <w:spacing w:after="0" w:line="242"/>
        <w:jc w:val="both"/>
      </w:pPr>
      <w:r>
        <w:rPr>
          <w:rFonts w:ascii="Georgia" w:cs="Georgia" w:eastAsia="Georgia" w:hAnsi="Georgia"/>
          <w:color w:val="8A8983"/>
          <w:sz w:val="15"/>
          <w:szCs w:val="15"/>
        </w:rPr>
        <w:t xml:space="preserve">OpenMarket Africa™, Virtual Warehouse Ledger™ and SmartSubsidy™ are marks of Digital Fusion Labs. © 2026 Digital Fusion Labs. Nielsen, Flour Mills of Nigeria and OmniRetail are the marks of their respective owners; references are comparative and imply no affiliation.</w:t>
      </w:r>
    </w:p>
    <w:sectPr>
      <w:footerReference w:type="default" r:id="rId7"/>
      <w:pgSz w:w="12240" w:h="15840" w:orient="portrait"/>
      <w:pgMar w:top="900" w:right="1180" w:bottom="780" w:left="1180" w:header="708"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jc w:val="center"/>
    </w:pPr>
    <w:r>
      <w:rPr>
        <w:rFonts w:ascii="Arial" w:cs="Arial" w:eastAsia="Arial" w:hAnsi="Arial"/>
        <w:color w:val="8A8983"/>
        <w:sz w:val="12"/>
        <w:szCs w:val="12"/>
      </w:rPr>
      <w:t xml:space="preserve">OpenMarket Africa · Digital Fusion Labs · Boroji Adebayo-Hopewell · hello@digitalfusionlabs.com · openmarket.africa · </w:t>
    </w:r>
    <w:r>
      <w:rPr>
        <w:rFonts w:ascii="Arial" w:cs="Arial" w:eastAsia="Arial" w:hAnsi="Arial"/>
        <w:b/>
        <w:bCs/>
        <w:color w:val="52514E"/>
        <w:sz w:val="12"/>
        <w:szCs w:val="12"/>
      </w:rPr>
      <w:fldChar w:fldCharType="begin"/>
      <w:instrText xml:space="preserve">PAGE</w:instrText>
      <w:fldChar w:fldCharType="separate"/>
      <w:fldChar w:fldCharType="end"/>
    </w:r>
    <w:r>
      <w:rPr>
        <w:rFonts w:ascii="Arial" w:cs="Arial" w:eastAsia="Arial" w:hAnsi="Arial"/>
        <w:color w:val="8A8983"/>
        <w:sz w:val="12"/>
        <w:szCs w:val="12"/>
      </w:rPr>
      <w:t xml:space="preserve"> of </w:t>
    </w:r>
    <w:r>
      <w:rPr>
        <w:rFonts w:ascii="Arial" w:cs="Arial" w:eastAsia="Arial" w:hAnsi="Arial"/>
        <w:color w:val="8A8983"/>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rPr>
        <w:rFonts w:ascii="Georgia" w:cs="Georgia" w:eastAsia="Georgia" w:hAnsi="Georgia"/>
        <w:color w:val="EB6834"/>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B0B0B"/>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OpenMarket Africa — Manufacturer Brief</dc:title>
  <dc:subject>Demand telemetry and verified promotion for FMCG manufacturers</dc:subject>
  <dc:creator>Boroji Adebayo-Hopewell</dc:creator>
  <dc:description>Digital Fusion Labs. Manufacturer brief accompanying the full business plan.</dc:description>
  <cp:lastModifiedBy>Un-named</cp:lastModifiedBy>
  <cp:revision>1</cp:revision>
  <dcterms:created xsi:type="dcterms:W3CDTF">2026-07-29T10:57:29.096Z</dcterms:created>
  <dcterms:modified xsi:type="dcterms:W3CDTF">2026-07-29T10:57:29.097Z</dcterms:modified>
</cp:coreProperties>
</file>

<file path=docProps/custom.xml><?xml version="1.0" encoding="utf-8"?>
<Properties xmlns="http://schemas.openxmlformats.org/officeDocument/2006/custom-properties" xmlns:vt="http://schemas.openxmlformats.org/officeDocument/2006/docPropsVTypes"/>
</file>