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B0B0B"/>
          <w:sz w:val="40"/>
          <w:szCs w:val="40"/>
        </w:rPr>
        <w:t xml:space="preserve">OpenMarket</w:t>
      </w:r>
      <w:r>
        <w:rPr>
          <w:rFonts w:ascii="Arial" w:cs="Arial" w:eastAsia="Arial" w:hAnsi="Arial"/>
          <w:b/>
          <w:bCs/>
          <w:color w:val="EB6834"/>
          <w:spacing w:val="60"/>
          <w:sz w:val="22"/>
          <w:szCs w:val="22"/>
        </w:rPr>
        <w:t xml:space="preserve"> AFRICA</w:t>
      </w:r>
      <w:r>
        <w:rPr>
          <w:rFonts w:ascii="Georgia" w:cs="Georgia" w:eastAsia="Georgia" w:hAnsi="Georgia"/>
          <w:i/>
          <w:iCs/>
          <w:color w:val="52514E"/>
          <w:sz w:val="17"/>
          <w:szCs w:val="17"/>
        </w:rPr>
        <w:t xml:space="preserve">    Where Africa's open markets meet verified commerce</w:t>
      </w:r>
    </w:p>
    <w:p>
      <w:pPr>
        <w:pBdr>
          <w:bottom w:val="single" w:color="EB6834" w:sz="12" w:space="8"/>
        </w:pBdr>
        <w:spacing w:after="130"/>
      </w:pPr>
      <w:r>
        <w:rPr>
          <w:rFonts w:ascii="Arial" w:cs="Arial" w:eastAsia="Arial" w:hAnsi="Arial"/>
          <w:color w:val="8A8983"/>
          <w:sz w:val="15"/>
          <w:szCs w:val="15"/>
        </w:rPr>
        <w:t xml:space="preserve">Digital Fusion Labs  ·  Partnership brief · July 2026</w:t>
      </w:r>
    </w:p>
    <w:p>
      <w:pPr>
        <w:spacing w:after="70" w:before="130"/>
      </w:pPr>
      <w:r>
        <w:rPr>
          <w:rFonts w:ascii="Arial" w:cs="Arial" w:eastAsia="Arial" w:hAnsi="Arial"/>
          <w:b/>
          <w:bCs/>
          <w:color w:val="0B0B0B"/>
          <w:sz w:val="26"/>
          <w:szCs w:val="26"/>
        </w:rPr>
        <w:t xml:space="preserve">A partnership proposal</w:t>
      </w:r>
    </w:p>
    <w:p>
      <w:pPr>
        <w:spacing w:after="150" w:line="242"/>
        <w:jc w:val="both"/>
      </w:pPr>
      <w:r>
        <w:rPr>
          <w:rFonts w:ascii="Georgia" w:cs="Georgia" w:eastAsia="Georgia" w:hAnsi="Georgia"/>
          <w:color w:val="52514E"/>
          <w:sz w:val="19"/>
          <w:szCs w:val="19"/>
        </w:rPr>
        <w:t xml:space="preserve">OpenMarket is trade coordination infrastructure for Africa's open markets. We do not buy goods, hold stock, run warehouses or drive trucks. We verify that the buyer has paid before anything moves, pay the seller 95% instantly, and record what happened. If you serve traders — as an association, a lender, an insurer, a carrier or a manufacturer — this is what we are offering, what we would ask in return, and what it costs you.</w:t>
      </w:r>
    </w:p>
    <w:tbl>
      <w:tblPr>
        <w:tblW w:type="dxa" w:w="9880"/>
        <w:tblBorders>
          <w:top w:val="none" w:color="FFFFFF" w:sz="0"/>
          <w:left w:val="none" w:color="FFFFFF" w:sz="0"/>
          <w:bottom w:val="none" w:color="FFFFFF" w:sz="0"/>
          <w:right w:val="none" w:color="FFFFFF" w:sz="0"/>
          <w:insideH w:val="none" w:color="FFFFFF" w:sz="0"/>
          <w:insideV w:val="single" w:color="FFFFFF" w:sz="6"/>
        </w:tblBorders>
      </w:tblPr>
      <w:tblGrid>
        <w:gridCol w:w="2470"/>
        <w:gridCol w:w="2470"/>
        <w:gridCol w:w="2470"/>
        <w:gridCol w:w="2470"/>
      </w:tblGrid>
      <w:tr>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95%</w:t>
            </w:r>
          </w:p>
          <w:p>
            <w:pPr>
              <w:spacing w:after="0"/>
              <w:jc w:val="center"/>
            </w:pPr>
            <w:r>
              <w:rPr>
                <w:rFonts w:ascii="Arial" w:cs="Arial" w:eastAsia="Arial" w:hAnsi="Arial"/>
                <w:color w:val="52514E"/>
                <w:sz w:val="13"/>
                <w:szCs w:val="13"/>
              </w:rPr>
              <w:t xml:space="preserve">PAID TO SELLER INSTANTLY</w:t>
            </w:r>
          </w:p>
        </w:tc>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0</w:t>
            </w:r>
          </w:p>
          <w:p>
            <w:pPr>
              <w:spacing w:after="0"/>
              <w:jc w:val="center"/>
            </w:pPr>
            <w:r>
              <w:rPr>
                <w:rFonts w:ascii="Arial" w:cs="Arial" w:eastAsia="Arial" w:hAnsi="Arial"/>
                <w:color w:val="52514E"/>
                <w:sz w:val="13"/>
                <w:szCs w:val="13"/>
              </w:rPr>
              <w:t xml:space="preserve">CARTONS WE OWN</w:t>
            </w:r>
          </w:p>
        </w:tc>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12 mo</w:t>
            </w:r>
          </w:p>
          <w:p>
            <w:pPr>
              <w:spacing w:after="0"/>
              <w:jc w:val="center"/>
            </w:pPr>
            <w:r>
              <w:rPr>
                <w:rFonts w:ascii="Arial" w:cs="Arial" w:eastAsia="Arial" w:hAnsi="Arial"/>
                <w:color w:val="52514E"/>
                <w:sz w:val="13"/>
                <w:szCs w:val="13"/>
              </w:rPr>
              <w:t xml:space="preserve">HUB PAYBACK</w:t>
            </w:r>
          </w:p>
        </w:tc>
        <w:tc>
          <w:tcPr>
            <w:tcW w:type="dxa" w:w="2470"/>
            <w:shd w:fill="E8F1FD" w:color="auto" w:val="clear"/>
            <w:tcMar>
              <w:top w:type="dxa" w:w="130"/>
              <w:left w:type="dxa" w:w="110"/>
              <w:bottom w:type="dxa" w:w="130"/>
              <w:right w:type="dxa" w:w="110"/>
            </w:tcMar>
          </w:tcPr>
          <w:p>
            <w:pPr>
              <w:spacing w:after="40"/>
              <w:jc w:val="center"/>
            </w:pPr>
            <w:r>
              <w:rPr>
                <w:rFonts w:ascii="Arial" w:cs="Arial" w:eastAsia="Arial" w:hAnsi="Arial"/>
                <w:b/>
                <w:bCs/>
                <w:color w:val="2A78D6"/>
                <w:sz w:val="26"/>
                <w:szCs w:val="26"/>
              </w:rPr>
              <w:t xml:space="preserve">₦0</w:t>
            </w:r>
          </w:p>
          <w:p>
            <w:pPr>
              <w:spacing w:after="0"/>
              <w:jc w:val="center"/>
            </w:pPr>
            <w:r>
              <w:rPr>
                <w:rFonts w:ascii="Arial" w:cs="Arial" w:eastAsia="Arial" w:hAnsi="Arial"/>
                <w:color w:val="52514E"/>
                <w:sz w:val="13"/>
                <w:szCs w:val="13"/>
              </w:rPr>
              <w:t xml:space="preserve">COST TO PARTNER</w:t>
            </w:r>
          </w:p>
        </w:tc>
      </w:tr>
    </w:tbl>
    <w:p>
      <w:pPr>
        <w:spacing w:after="110"/>
      </w:pPr>
    </w:p>
    <w:p>
      <w:pPr>
        <w:keepNext/>
        <w:spacing w:after="70" w:before="165"/>
      </w:pPr>
      <w:r>
        <w:rPr>
          <w:rFonts w:ascii="Arial" w:cs="Arial" w:eastAsia="Arial" w:hAnsi="Arial"/>
          <w:b/>
          <w:bCs/>
          <w:color w:val="0B0B0B"/>
          <w:sz w:val="20"/>
          <w:szCs w:val="20"/>
        </w:rPr>
        <w:t xml:space="preserve">The problem we solve, in one paragraph</w:t>
      </w:r>
    </w:p>
    <w:p>
      <w:pPr>
        <w:spacing w:after="92" w:line="242"/>
        <w:jc w:val="both"/>
      </w:pPr>
      <w:r>
        <w:rPr>
          <w:rFonts w:ascii="Georgia" w:cs="Georgia" w:eastAsia="Georgia" w:hAnsi="Georgia"/>
          <w:color w:val="0B0B0B"/>
          <w:sz w:val="18"/>
          <w:szCs w:val="18"/>
        </w:rPr>
        <w:t xml:space="preserve">A wholesaler in Onitsha will not release goods to a buyer in Enugu they cannot see. That buyer will not send money to a seller they cannot hold to account. So trade stops at the radius a person can physically reach, and everything beyond it — the larger order, the new customer, the neighbouring state — simply does not happen. It is not a logistics problem and it is not a discovery problem: </w:t>
      </w:r>
      <w:r>
        <w:rPr>
          <w:rFonts w:ascii="Georgia" w:cs="Georgia" w:eastAsia="Georgia" w:hAnsi="Georgia"/>
          <w:b/>
          <w:bCs/>
          <w:color w:val="0B0B0B"/>
          <w:sz w:val="18"/>
          <w:szCs w:val="18"/>
        </w:rPr>
        <w:t xml:space="preserve">94% of Nigerian retailers still source in open markets, and 72% of them say they would buy online.</w:t>
      </w:r>
      <w:r>
        <w:rPr>
          <w:rFonts w:ascii="Georgia" w:cs="Georgia" w:eastAsia="Georgia" w:hAnsi="Georgia"/>
          <w:color w:val="0B0B0B"/>
          <w:sz w:val="18"/>
          <w:szCs w:val="18"/>
        </w:rPr>
        <w:t xml:space="preserve"> The missing piece is a settlement guarantee, and nobody has supplied one.</w:t>
      </w:r>
    </w:p>
    <w:tbl>
      <w:tblPr>
        <w:tblW w:type="dxa" w:w="9880"/>
        <w:tblBorders>
          <w:top w:val="single" w:color="D8D7D2" w:sz="4"/>
          <w:left w:val="none" w:color="FFFFFF" w:sz="0"/>
          <w:bottom w:val="single" w:color="D8D7D2" w:sz="4"/>
          <w:right w:val="none" w:color="FFFFFF" w:sz="0"/>
          <w:insideH w:val="single" w:color="D8D7D2" w:sz="2"/>
          <w:insideV w:val="none" w:color="FFFFFF" w:sz="0"/>
        </w:tblBorders>
      </w:tblPr>
      <w:tblGrid>
        <w:gridCol w:w="2100"/>
        <w:gridCol w:w="3400"/>
        <w:gridCol w:w="4380"/>
      </w:tblGrid>
      <w:tr>
        <w:trPr>
          <w:tblHeader/>
        </w:trPr>
        <w:tc>
          <w:tcPr>
            <w:tcW w:type="dxa" w:w="210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Step</w:t>
            </w:r>
          </w:p>
        </w:tc>
        <w:tc>
          <w:tcPr>
            <w:tcW w:type="dxa" w:w="340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What happens</w:t>
            </w:r>
          </w:p>
        </w:tc>
        <w:tc>
          <w:tcPr>
            <w:tcW w:type="dxa" w:w="438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Who carries what</w:t>
            </w:r>
          </w:p>
        </w:tc>
      </w:tr>
      <w:tr>
        <w:tc>
          <w:tcPr>
            <w:tcW w:type="dxa" w:w="21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Order</w:t>
            </w:r>
          </w:p>
        </w:tc>
        <w:tc>
          <w:tcPr>
            <w:tcW w:type="dxa" w:w="34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Merchant orders against a distributor's digitised stock; stock is reserved, not committed</w:t>
            </w:r>
          </w:p>
        </w:tc>
        <w:tc>
          <w:tcPr>
            <w:tcW w:type="dxa" w:w="438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Distributor keeps title to their goods throughout</w:t>
            </w:r>
          </w:p>
        </w:tc>
      </w:tr>
      <w:tr>
        <w:tc>
          <w:tcPr>
            <w:tcW w:type="dxa" w:w="21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Payment verified</w:t>
            </w:r>
          </w:p>
        </w:tc>
        <w:tc>
          <w:tcPr>
            <w:tcW w:type="dxa" w:w="34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Funds must be </w:t>
            </w:r>
            <w:r>
              <w:rPr>
                <w:rFonts w:ascii="Arial" w:cs="Arial" w:eastAsia="Arial" w:hAnsi="Arial"/>
                <w:b/>
                <w:bCs/>
                <w:color w:val="0B0B0B"/>
                <w:sz w:val="15"/>
                <w:szCs w:val="15"/>
              </w:rPr>
              <w:t xml:space="preserve">settled</w:t>
            </w:r>
            <w:r>
              <w:rPr>
                <w:rFonts w:ascii="Arial" w:cs="Arial" w:eastAsia="Arial" w:hAnsi="Arial"/>
                <w:color w:val="0B0B0B"/>
                <w:sz w:val="15"/>
                <w:szCs w:val="15"/>
              </w:rPr>
              <w:t xml:space="preserve"> at the provider — not authorised — before any fulfilment instruction issues</w:t>
            </w:r>
          </w:p>
        </w:tc>
        <w:tc>
          <w:tcPr>
            <w:tcW w:type="dxa" w:w="438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OpenMarket carries settlement correctness and nothing else</w:t>
            </w:r>
          </w:p>
        </w:tc>
      </w:tr>
      <w:tr>
        <w:tc>
          <w:tcPr>
            <w:tcW w:type="dxa" w:w="21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Ledger split</w:t>
            </w:r>
          </w:p>
        </w:tc>
        <w:tc>
          <w:tcPr>
            <w:tcW w:type="dxa" w:w="34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Programmatic split: 95% distributor, 5% platform gross, with rebate accrued at that moment</w:t>
            </w:r>
          </w:p>
        </w:tc>
        <w:tc>
          <w:tcPr>
            <w:tcW w:type="dxa" w:w="438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Distributor carries no credit risk on the order</w:t>
            </w:r>
          </w:p>
        </w:tc>
      </w:tr>
      <w:tr>
        <w:tc>
          <w:tcPr>
            <w:tcW w:type="dxa" w:w="21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Fulfil</w:t>
            </w:r>
          </w:p>
        </w:tc>
        <w:tc>
          <w:tcPr>
            <w:tcW w:type="dxa" w:w="34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Distributor releases; carrier delivers if used; merchant confirms and the ledger closes</w:t>
            </w:r>
          </w:p>
        </w:tc>
        <w:tc>
          <w:tcPr>
            <w:tcW w:type="dxa" w:w="438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Carrier keeps delivery liability and their own insurance</w:t>
            </w:r>
          </w:p>
        </w:tc>
      </w:tr>
    </w:tbl>
    <w:p>
      <w:pPr>
        <w:spacing w:after="95"/>
      </w:pPr>
    </w:p>
    <w:p>
      <w:pPr>
        <w:keepNext/>
        <w:spacing w:after="70" w:before="165"/>
      </w:pPr>
      <w:r>
        <w:rPr>
          <w:rFonts w:ascii="Arial" w:cs="Arial" w:eastAsia="Arial" w:hAnsi="Arial"/>
          <w:b/>
          <w:bCs/>
          <w:color w:val="0B0B0B"/>
          <w:sz w:val="20"/>
          <w:szCs w:val="20"/>
        </w:rPr>
        <w:t xml:space="preserve">Six partnerships, and what each one gets</w:t>
      </w:r>
    </w:p>
    <w:tbl>
      <w:tblPr>
        <w:tblW w:type="dxa" w:w="9880"/>
        <w:tblBorders>
          <w:top w:val="single" w:color="D8D7D2" w:sz="4"/>
          <w:left w:val="none" w:color="FFFFFF" w:sz="0"/>
          <w:bottom w:val="single" w:color="D8D7D2" w:sz="4"/>
          <w:right w:val="none" w:color="FFFFFF" w:sz="0"/>
          <w:insideH w:val="single" w:color="D8D7D2" w:sz="2"/>
          <w:insideV w:val="none" w:color="FFFFFF" w:sz="0"/>
        </w:tblBorders>
      </w:tblPr>
      <w:tblGrid>
        <w:gridCol w:w="2250"/>
        <w:gridCol w:w="3700"/>
        <w:gridCol w:w="3930"/>
      </w:tblGrid>
      <w:tr>
        <w:trPr>
          <w:tblHeader/>
        </w:trPr>
        <w:tc>
          <w:tcPr>
            <w:tcW w:type="dxa" w:w="225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Partner</w:t>
            </w:r>
          </w:p>
        </w:tc>
        <w:tc>
          <w:tcPr>
            <w:tcW w:type="dxa" w:w="370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What you get</w:t>
            </w:r>
          </w:p>
        </w:tc>
        <w:tc>
          <w:tcPr>
            <w:tcW w:type="dxa" w:w="3930"/>
            <w:shd w:fill="0B0B0B" w:color="auto" w:val="clear"/>
            <w:tcMar>
              <w:top w:type="dxa" w:w="78"/>
              <w:left w:type="dxa" w:w="110"/>
              <w:bottom w:type="dxa" w:w="78"/>
              <w:right w:type="dxa" w:w="110"/>
            </w:tcMar>
            <w:vAlign w:val="center"/>
          </w:tcPr>
          <w:p>
            <w:pPr>
              <w:spacing w:after="0" w:line="235"/>
              <w:jc w:val="left"/>
            </w:pPr>
            <w:r>
              <w:rPr>
                <w:rFonts w:ascii="Arial" w:cs="Arial" w:eastAsia="Arial" w:hAnsi="Arial"/>
                <w:color w:val="FFFFFF"/>
                <w:sz w:val="14"/>
                <w:szCs w:val="14"/>
              </w:rPr>
              <w:t xml:space="preserve">What we ask</w:t>
            </w:r>
          </w:p>
        </w:tc>
      </w:tr>
      <w:tr>
        <w:tc>
          <w:tcPr>
            <w:tcW w:type="dxa" w:w="225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b/>
                <w:bCs/>
                <w:color w:val="0B0B0B"/>
                <w:sz w:val="15"/>
                <w:szCs w:val="15"/>
              </w:rPr>
              <w:t xml:space="preserve">Market associations and trade unions</w:t>
            </w:r>
          </w:p>
        </w:tc>
        <w:tc>
          <w:tcPr>
            <w:tcW w:type="dxa" w:w="37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Verified trade volume in your own market, reported quarterly — information no executive has ever had about their own hub. Dispute-resolution rights over platform transactions. Your traders keep their stock, their customers and their margin.</w:t>
            </w:r>
          </w:p>
        </w:tc>
        <w:tc>
          <w:tcPr>
            <w:tcW w:type="dxa" w:w="393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Endorsement, presence in the market, and the ability to address a general meeting. </w:t>
            </w:r>
            <w:r>
              <w:rPr>
                <w:rFonts w:ascii="Arial" w:cs="Arial" w:eastAsia="Arial" w:hAnsi="Arial"/>
                <w:b/>
                <w:bCs/>
                <w:color w:val="0B0B0B"/>
                <w:sz w:val="15"/>
                <w:szCs w:val="15"/>
              </w:rPr>
              <w:t xml:space="preserve">No fee to the union, no exclusivity, and no revenue share taken from your members' trade.</w:t>
            </w:r>
          </w:p>
        </w:tc>
      </w:tr>
      <w:tr>
        <w:tc>
          <w:tcPr>
            <w:tcW w:type="dxa" w:w="225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b/>
                <w:bCs/>
                <w:color w:val="0B0B0B"/>
                <w:sz w:val="15"/>
                <w:szCs w:val="15"/>
              </w:rPr>
              <w:t xml:space="preserve">Banks, lenders and DFIs</w:t>
            </w:r>
          </w:p>
        </w:tc>
        <w:tc>
          <w:tcPr>
            <w:tcW w:type="dxa" w:w="37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Underwriting data that does not otherwise exist: verified weekly settlement behaviour on merchants who are 75% first-time formal-credit borrowers, against a $32.2bn Nigerian SME financing gap. A ring-fenced facility with first-loss structure and a defined hub-level exposure cap.</w:t>
            </w:r>
          </w:p>
        </w:tc>
        <w:tc>
          <w:tcPr>
            <w:tcW w:type="dxa" w:w="393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A facility conversation and a pilot on 500 merchants with measured 60-day loss performance before anything scales.</w:t>
            </w:r>
          </w:p>
        </w:tc>
      </w:tr>
      <w:tr>
        <w:tc>
          <w:tcPr>
            <w:tcW w:type="dxa" w:w="225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b/>
                <w:bCs/>
                <w:color w:val="0B0B0B"/>
                <w:sz w:val="15"/>
                <w:szCs w:val="15"/>
              </w:rPr>
              <w:t xml:space="preserve">Insurers and bond issuers</w:t>
            </w:r>
          </w:p>
        </w:tc>
        <w:tc>
          <w:tcPr>
            <w:tcW w:type="dxa" w:w="37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Settlement history, order regularity and distributor fill-rate data on a population you currently cannot price. Goods-in-transit and trade-credit products distributed at the point of transaction.</w:t>
            </w:r>
          </w:p>
        </w:tc>
        <w:tc>
          <w:tcPr>
            <w:tcW w:type="dxa" w:w="393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Origination referral on an agreed fee share. We do not underwrite and will not compete with you.</w:t>
            </w:r>
          </w:p>
        </w:tc>
      </w:tr>
      <w:tr>
        <w:tc>
          <w:tcPr>
            <w:tcW w:type="dxa" w:w="225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b/>
                <w:bCs/>
                <w:color w:val="0B0B0B"/>
                <w:sz w:val="15"/>
                <w:szCs w:val="15"/>
              </w:rPr>
              <w:t xml:space="preserve">Licensed carriers</w:t>
            </w:r>
          </w:p>
        </w:tc>
        <w:tc>
          <w:tcPr>
            <w:tcW w:type="dxa" w:w="37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Verified lanes with pre-paid consignments — the goods are already paid for before you are dispatched, which removes the collection risk that makes informal haulage unprofitable. Presented to merchants at checkout.</w:t>
            </w:r>
          </w:p>
        </w:tc>
        <w:tc>
          <w:tcPr>
            <w:tcW w:type="dxa" w:w="393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Licensing and insurance verified at onboarding. You keep the delivery economics, the vehicle and the liability.</w:t>
            </w:r>
          </w:p>
        </w:tc>
      </w:tr>
      <w:tr>
        <w:tc>
          <w:tcPr>
            <w:tcW w:type="dxa" w:w="225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b/>
                <w:bCs/>
                <w:color w:val="0B0B0B"/>
                <w:sz w:val="15"/>
                <w:szCs w:val="15"/>
              </w:rPr>
              <w:t xml:space="preserve">Market connectors and affiliates</w:t>
            </w:r>
          </w:p>
        </w:tc>
        <w:tc>
          <w:tcPr>
            <w:tcW w:type="dxa" w:w="370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A 50% share of the settlement fee on the first settled order of every retailer </w:t>
            </w:r>
            <w:r>
              <w:rPr>
                <w:rFonts w:ascii="Arial" w:cs="Arial" w:eastAsia="Arial" w:hAnsi="Arial"/>
                <w:i/>
                <w:iCs/>
                <w:color w:val="0B0B0B"/>
                <w:sz w:val="15"/>
                <w:szCs w:val="15"/>
              </w:rPr>
              <w:t xml:space="preserve">and every wholesaler</w:t>
            </w:r>
            <w:r>
              <w:rPr>
                <w:rFonts w:ascii="Arial" w:cs="Arial" w:eastAsia="Arial" w:hAnsi="Arial"/>
                <w:color w:val="0B0B0B"/>
                <w:sz w:val="15"/>
                <w:szCs w:val="15"/>
              </w:rPr>
              <w:t xml:space="preserve"> you introduce — $1.98 per merchant and $71.89 per distributor at Year-5 rates, paid out of the platform's own fee rather than taken from anyone's trade. Priority access to working capital for your own business once you have ten settled introductions.</w:t>
            </w:r>
          </w:p>
        </w:tc>
        <w:tc>
          <w:tcPr>
            <w:tcW w:type="dxa" w:w="3930"/>
            <w:shd w:fill="FFFFFF"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An introduction to people you already know. No retainer, no territory, no exclusivity, and no obligation. You are paid when the order settles and not before.</w:t>
            </w:r>
          </w:p>
        </w:tc>
      </w:tr>
      <w:tr>
        <w:tc>
          <w:tcPr>
            <w:tcW w:type="dxa" w:w="225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b/>
                <w:bCs/>
                <w:color w:val="0B0B0B"/>
                <w:sz w:val="15"/>
                <w:szCs w:val="15"/>
              </w:rPr>
              <w:t xml:space="preserve">Manufacturers</w:t>
            </w:r>
          </w:p>
        </w:tc>
        <w:tc>
          <w:tcPr>
            <w:tcW w:type="dxa" w:w="370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See the separate manufacturer brief. In short: cluster-level demand telemetry below your distributor tier, and promotional spend you can verify reached the shelf.</w:t>
            </w:r>
          </w:p>
        </w:tc>
        <w:tc>
          <w:tcPr>
            <w:tcW w:type="dxa" w:w="3930"/>
            <w:shd w:fill="FBFBF9" w:color="auto" w:val="clear"/>
            <w:tcMar>
              <w:top w:type="dxa" w:w="78"/>
              <w:left w:type="dxa" w:w="110"/>
              <w:bottom w:type="dxa" w:w="78"/>
              <w:right w:type="dxa" w:w="110"/>
            </w:tcMar>
            <w:vAlign w:val="center"/>
          </w:tcPr>
          <w:p>
            <w:pPr>
              <w:spacing w:after="0" w:line="235"/>
              <w:jc w:val="left"/>
            </w:pPr>
            <w:r>
              <w:rPr>
                <w:rFonts w:ascii="Arial" w:cs="Arial" w:eastAsia="Arial" w:hAnsi="Arial"/>
                <w:color w:val="0B0B0B"/>
                <w:sz w:val="15"/>
                <w:szCs w:val="15"/>
              </w:rPr>
              <w:t xml:space="preserve">A telemetry pilot in one hub, and a named contact in trade marketing.</w:t>
            </w:r>
          </w:p>
        </w:tc>
      </w:tr>
    </w:tbl>
    <w:p>
      <w:pPr>
        <w:spacing w:after="95"/>
      </w:pPr>
    </w:p>
    <w:tbl>
      <w:tblPr>
        <w:tblW w:type="dxa" w:w="9880"/>
        <w:tblBorders>
          <w:top w:val="single" w:color="E2F5EE" w:sz="2"/>
          <w:left w:val="single" w:color="1BAF7A" w:sz="16"/>
          <w:bottom w:val="single" w:color="E2F5EE" w:sz="2"/>
          <w:right w:val="single" w:color="E2F5EE" w:sz="2"/>
          <w:insideH w:val="none" w:color="FFFFFF" w:sz="0"/>
          <w:insideV w:val="none" w:color="FFFFFF" w:sz="0"/>
        </w:tblBorders>
      </w:tblPr>
      <w:tblGrid>
        <w:gridCol w:w="9880"/>
      </w:tblGrid>
      <w:tr>
        <w:tc>
          <w:tcPr>
            <w:tcW w:type="dxa" w:w="9880"/>
            <w:shd w:fill="E2F5EE" w:color="auto" w:val="clear"/>
            <w:tcMar>
              <w:top w:type="dxa" w:w="150"/>
              <w:left w:type="dxa" w:w="200"/>
              <w:bottom w:type="dxa" w:w="150"/>
              <w:right w:type="dxa" w:w="200"/>
            </w:tcMar>
          </w:tcPr>
          <w:p>
            <w:pPr>
              <w:spacing w:after="80"/>
            </w:pPr>
            <w:r>
              <w:rPr>
                <w:rFonts w:ascii="Arial" w:cs="Arial" w:eastAsia="Arial" w:hAnsi="Arial"/>
                <w:b/>
                <w:bCs/>
                <w:color w:val="1BAF7A"/>
                <w:sz w:val="16"/>
                <w:szCs w:val="16"/>
              </w:rPr>
              <w:t xml:space="preserve">Why this is low-risk for you</w:t>
            </w:r>
          </w:p>
          <w:p>
            <w:pPr>
              <w:spacing w:after="80" w:line="250"/>
              <w:jc w:val="both"/>
            </w:pPr>
            <w:r>
              <w:rPr>
                <w:rFonts w:ascii="Georgia" w:cs="Georgia" w:eastAsia="Georgia" w:hAnsi="Georgia"/>
                <w:b/>
                <w:bCs/>
                <w:color w:val="0B0B0B"/>
                <w:sz w:val="18"/>
                <w:szCs w:val="18"/>
              </w:rPr>
              <w:t xml:space="preserve">Nothing is exclusive and nothing is paid.</w:t>
            </w:r>
            <w:r>
              <w:rPr>
                <w:rFonts w:ascii="Georgia" w:cs="Georgia" w:eastAsia="Georgia" w:hAnsi="Georgia"/>
                <w:color w:val="0B0B0B"/>
                <w:sz w:val="18"/>
                <w:szCs w:val="18"/>
              </w:rPr>
              <w:t xml:space="preserve"> No partner class in this proposal requires a fee, a minimum commitment or an exclusivity grant. Every arrangement ends on notice.</w:t>
            </w:r>
          </w:p>
          <w:p>
            <w:pPr>
              <w:spacing w:after="80" w:line="250"/>
              <w:jc w:val="both"/>
            </w:pPr>
            <w:r>
              <w:rPr>
                <w:rFonts w:ascii="Georgia" w:cs="Georgia" w:eastAsia="Georgia" w:hAnsi="Georgia"/>
                <w:b/>
                <w:bCs/>
                <w:color w:val="0B0B0B"/>
                <w:sz w:val="18"/>
                <w:szCs w:val="18"/>
              </w:rPr>
              <w:t xml:space="preserve">We do not compete with anyone in the channel.</w:t>
            </w:r>
            <w:r>
              <w:rPr>
                <w:rFonts w:ascii="Georgia" w:cs="Georgia" w:eastAsia="Georgia" w:hAnsi="Georgia"/>
                <w:color w:val="0B0B0B"/>
                <w:sz w:val="18"/>
                <w:szCs w:val="18"/>
              </w:rPr>
              <w:t xml:space="preserve"> OpenMarket never takes title to goods, never holds stock, never operates a fleet and never becomes a party to the trade. The distributor stays the principal; the carrier stays the haulier; the lender keeps the credit risk.</w:t>
            </w:r>
          </w:p>
          <w:p>
            <w:pPr>
              <w:spacing w:after="80" w:line="250"/>
              <w:jc w:val="both"/>
            </w:pPr>
            <w:r>
              <w:rPr>
                <w:rFonts w:ascii="Georgia" w:cs="Georgia" w:eastAsia="Georgia" w:hAnsi="Georgia"/>
                <w:b/>
                <w:bCs/>
                <w:color w:val="0B0B0B"/>
                <w:sz w:val="18"/>
                <w:szCs w:val="18"/>
              </w:rPr>
              <w:t xml:space="preserve">Merchant data never travels upward.</w:t>
            </w:r>
            <w:r>
              <w:rPr>
                <w:rFonts w:ascii="Georgia" w:cs="Georgia" w:eastAsia="Georgia" w:hAnsi="Georgia"/>
                <w:color w:val="0B0B0B"/>
                <w:sz w:val="18"/>
                <w:szCs w:val="18"/>
              </w:rPr>
              <w:t xml:space="preserve"> Anything a manufacturer sees is aggregated to a cluster with a minimum cohort of twelve merchants, enforced in the system rather than in a contract. No partner receives merchant identity at any price.</w:t>
            </w:r>
          </w:p>
          <w:p>
            <w:pPr>
              <w:spacing w:after="0" w:line="250"/>
              <w:jc w:val="both"/>
            </w:pPr>
            <w:r>
              <w:rPr>
                <w:rFonts w:ascii="Georgia" w:cs="Georgia" w:eastAsia="Georgia" w:hAnsi="Georgia"/>
                <w:b/>
                <w:bCs/>
                <w:color w:val="0B0B0B"/>
                <w:sz w:val="18"/>
                <w:szCs w:val="18"/>
              </w:rPr>
              <w:t xml:space="preserve">We publish our own performance.</w:t>
            </w:r>
            <w:r>
              <w:rPr>
                <w:rFonts w:ascii="Georgia" w:cs="Georgia" w:eastAsia="Georgia" w:hAnsi="Georgia"/>
                <w:color w:val="0B0B0B"/>
                <w:sz w:val="18"/>
                <w:szCs w:val="18"/>
              </w:rPr>
              <w:t xml:space="preserve"> Settlement success rate, median time to distributor payout and verified trade volume per hub, monthly — including in the months when the numbers are poor. You can hold us to a figure rather than to a promise.</w:t>
            </w:r>
          </w:p>
        </w:tc>
      </w:tr>
    </w:tbl>
    <w:p>
      <w:pPr>
        <w:spacing w:after="95"/>
      </w:pPr>
    </w:p>
    <w:p>
      <w:pPr>
        <w:keepNext/>
        <w:spacing w:after="70" w:before="165"/>
      </w:pPr>
      <w:r>
        <w:rPr>
          <w:rFonts w:ascii="Arial" w:cs="Arial" w:eastAsia="Arial" w:hAnsi="Arial"/>
          <w:b/>
          <w:bCs/>
          <w:color w:val="0B0B0B"/>
          <w:sz w:val="20"/>
          <w:szCs w:val="20"/>
        </w:rPr>
        <w:t xml:space="preserve">Why we are not the last four platforms</w:t>
      </w:r>
    </w:p>
    <w:p>
      <w:pPr>
        <w:spacing w:after="92" w:line="242"/>
        <w:jc w:val="both"/>
      </w:pPr>
      <w:r>
        <w:rPr>
          <w:rFonts w:ascii="Georgia" w:cs="Georgia" w:eastAsia="Georgia" w:hAnsi="Georgia"/>
          <w:color w:val="0B0B0B"/>
          <w:sz w:val="18"/>
          <w:szCs w:val="18"/>
        </w:rPr>
        <w:t xml:space="preserve">Traders in Onitsha, Alaba and Kejetia have watched B2B platforms arrive, promise to change everything, and disappear. Copia entered administration. MarketForce wound down. Wabi left Nigeria and Kenya. Alerzo closed warehouses. That scepticism is earned and we do not ask anyone to set it aside.</w:t>
      </w:r>
    </w:p>
    <w:p>
      <w:pPr>
        <w:spacing w:after="92" w:line="242"/>
        <w:jc w:val="both"/>
      </w:pPr>
      <w:r>
        <w:rPr>
          <w:rFonts w:ascii="Georgia" w:cs="Georgia" w:eastAsia="Georgia" w:hAnsi="Georgia"/>
          <w:color w:val="0B0B0B"/>
          <w:sz w:val="18"/>
          <w:szCs w:val="18"/>
        </w:rPr>
        <w:t xml:space="preserve">What we ask is that the difference be checked rather than believed. Every one of those companies bought inventory, built warehouses and ran vans — they were competing with the wholesaler. </w:t>
      </w:r>
      <w:r>
        <w:rPr>
          <w:rFonts w:ascii="Georgia" w:cs="Georgia" w:eastAsia="Georgia" w:hAnsi="Georgia"/>
          <w:b/>
          <w:bCs/>
          <w:color w:val="0B0B0B"/>
          <w:sz w:val="18"/>
          <w:szCs w:val="18"/>
        </w:rPr>
        <w:t xml:space="preserve">We own nothing.</w:t>
      </w:r>
      <w:r>
        <w:rPr>
          <w:rFonts w:ascii="Georgia" w:cs="Georgia" w:eastAsia="Georgia" w:hAnsi="Georgia"/>
          <w:color w:val="0B0B0B"/>
          <w:sz w:val="18"/>
          <w:szCs w:val="18"/>
        </w:rPr>
        <w:t xml:space="preserve"> There is no OpenMarket warehouse, no OpenMarket truck and no OpenMarket stock, because those three cost lines are the published reason each of them failed. The one operator in this sector that reached profitability, OmniRetail, did so by owning none of them either.</w:t>
      </w:r>
    </w:p>
    <w:p>
      <w:pPr>
        <w:spacing w:after="95"/>
      </w:pPr>
    </w:p>
    <w:p>
      <w:pPr>
        <w:keepNext/>
        <w:spacing w:after="70" w:before="165"/>
      </w:pPr>
      <w:r>
        <w:rPr>
          <w:rFonts w:ascii="Arial" w:cs="Arial" w:eastAsia="Arial" w:hAnsi="Arial"/>
          <w:b/>
          <w:bCs/>
          <w:color w:val="0B0B0B"/>
          <w:sz w:val="20"/>
          <w:szCs w:val="20"/>
        </w:rPr>
        <w:t xml:space="preserve">What we can show you before you commit</w:t>
      </w:r>
    </w:p>
    <w:p>
      <w:pPr>
        <w:pStyle w:val="ListParagraph"/>
        <w:numPr>
          <w:ilvl w:val="0"/>
          <w:numId w:val="2"/>
        </w:numPr>
        <w:spacing w:after="60" w:line="245"/>
        <w:jc w:val="left"/>
      </w:pPr>
      <w:r>
        <w:rPr>
          <w:rFonts w:ascii="Georgia" w:cs="Georgia" w:eastAsia="Georgia" w:hAnsi="Georgia"/>
          <w:b/>
          <w:bCs/>
          <w:color w:val="0B0B0B"/>
          <w:sz w:val="18"/>
          <w:szCs w:val="18"/>
        </w:rPr>
        <w:t xml:space="preserve">A live settlement record</w:t>
      </w:r>
      <w:r>
        <w:rPr>
          <w:rFonts w:ascii="Georgia" w:cs="Georgia" w:eastAsia="Georgia" w:hAnsi="Georgia"/>
          <w:color w:val="0B0B0B"/>
          <w:sz w:val="18"/>
          <w:szCs w:val="18"/>
        </w:rPr>
        <w:t xml:space="preserve"> from an operating hub: success rate, median time to payout, dispute volume.</w:t>
      </w:r>
    </w:p>
    <w:p>
      <w:pPr>
        <w:pStyle w:val="ListParagraph"/>
        <w:numPr>
          <w:ilvl w:val="0"/>
          <w:numId w:val="2"/>
        </w:numPr>
        <w:spacing w:after="60" w:line="245"/>
        <w:jc w:val="left"/>
      </w:pPr>
      <w:r>
        <w:rPr>
          <w:rFonts w:ascii="Georgia" w:cs="Georgia" w:eastAsia="Georgia" w:hAnsi="Georgia"/>
          <w:b/>
          <w:bCs/>
          <w:color w:val="0B0B0B"/>
          <w:sz w:val="18"/>
          <w:szCs w:val="18"/>
        </w:rPr>
        <w:t xml:space="preserve">A pilot with a defined end date and an agreed measure</w:t>
      </w:r>
      <w:r>
        <w:rPr>
          <w:rFonts w:ascii="Georgia" w:cs="Georgia" w:eastAsia="Georgia" w:hAnsi="Georgia"/>
          <w:color w:val="0B0B0B"/>
          <w:sz w:val="18"/>
          <w:szCs w:val="18"/>
        </w:rPr>
        <w:t xml:space="preserve"> — for a union, a set of member traders; for a lender, 500 merchants; for a carrier, three lanes.</w:t>
      </w:r>
    </w:p>
    <w:p>
      <w:pPr>
        <w:pStyle w:val="ListParagraph"/>
        <w:numPr>
          <w:ilvl w:val="0"/>
          <w:numId w:val="2"/>
        </w:numPr>
        <w:spacing w:after="60" w:line="245"/>
        <w:jc w:val="left"/>
      </w:pPr>
      <w:r>
        <w:rPr>
          <w:rFonts w:ascii="Georgia" w:cs="Georgia" w:eastAsia="Georgia" w:hAnsi="Georgia"/>
          <w:b/>
          <w:bCs/>
          <w:color w:val="0B0B0B"/>
          <w:sz w:val="18"/>
          <w:szCs w:val="18"/>
        </w:rPr>
        <w:t xml:space="preserve">The ledger itself.</w:t>
      </w:r>
      <w:r>
        <w:rPr>
          <w:rFonts w:ascii="Georgia" w:cs="Georgia" w:eastAsia="Georgia" w:hAnsi="Georgia"/>
          <w:color w:val="0B0B0B"/>
          <w:sz w:val="18"/>
          <w:szCs w:val="18"/>
        </w:rPr>
        <w:t xml:space="preserve"> For a distributor or a union executive, the most persuasive thing we have is not a presentation; it is watching money arrive in an account before the goods have left the shed.</w:t>
      </w:r>
    </w:p>
    <w:p>
      <w:pPr>
        <w:spacing w:after="110"/>
      </w:pPr>
    </w:p>
    <w:p>
      <w:pPr>
        <w:keepNext/>
        <w:spacing w:after="70" w:before="165"/>
      </w:pPr>
      <w:r>
        <w:rPr>
          <w:rFonts w:ascii="Arial" w:cs="Arial" w:eastAsia="Arial" w:hAnsi="Arial"/>
          <w:b/>
          <w:bCs/>
          <w:color w:val="0B0B0B"/>
          <w:sz w:val="20"/>
          <w:szCs w:val="20"/>
        </w:rPr>
        <w:t xml:space="preserve">The next step</w:t>
      </w:r>
    </w:p>
    <w:p>
      <w:pPr>
        <w:spacing w:after="92" w:line="242"/>
        <w:jc w:val="both"/>
      </w:pPr>
      <w:r>
        <w:rPr>
          <w:rFonts w:ascii="Georgia" w:cs="Georgia" w:eastAsia="Georgia" w:hAnsi="Georgia"/>
          <w:color w:val="0B0B0B"/>
          <w:sz w:val="18"/>
          <w:szCs w:val="18"/>
        </w:rPr>
        <w:t xml:space="preserve">A meeting in the market, not in an office. We would rather demonstrate one settled transaction in front of you than explain ten. If it is not obviously useful to the traders you represent or serve, there is no second meeting and nothing has cost you anything but the time.</w:t>
      </w:r>
    </w:p>
    <w:p>
      <w:pPr>
        <w:pBdr>
          <w:top w:val="single" w:color="EB6834" w:sz="8" w:space="10"/>
        </w:pBdr>
        <w:spacing w:after="40" w:before="140"/>
      </w:pPr>
      <w:r>
        <w:rPr>
          <w:rFonts w:ascii="Arial" w:cs="Arial" w:eastAsia="Arial" w:hAnsi="Arial"/>
          <w:b/>
          <w:bCs/>
          <w:color w:val="0B0B0B"/>
          <w:sz w:val="19"/>
          <w:szCs w:val="19"/>
        </w:rPr>
        <w:t xml:space="preserve">Boroji Adebayo-Hopewell</w:t>
      </w:r>
      <w:r>
        <w:rPr>
          <w:rFonts w:ascii="Arial" w:cs="Arial" w:eastAsia="Arial" w:hAnsi="Arial"/>
          <w:color w:val="52514E"/>
          <w:sz w:val="16"/>
          <w:szCs w:val="16"/>
        </w:rPr>
        <w:t xml:space="preserve">   ·   Digital Fusion Labs   ·   hello@digitalfusionlabs.com   ·   openmarket.africa</w:t>
      </w:r>
    </w:p>
    <w:p>
      <w:pPr>
        <w:spacing w:after="0" w:line="242"/>
        <w:jc w:val="both"/>
      </w:pPr>
      <w:r>
        <w:rPr>
          <w:rFonts w:ascii="Georgia" w:cs="Georgia" w:eastAsia="Georgia" w:hAnsi="Georgia"/>
          <w:color w:val="8A8983"/>
          <w:sz w:val="15"/>
          <w:szCs w:val="15"/>
        </w:rPr>
        <w:t xml:space="preserve">OpenMarket Africa™, Virtual Warehouse Ledger™ and SmartSubsidy™ are marks of Digital Fusion Labs. © 2026 Digital Fusion Labs. Third-party names are the marks of their respective owners.</w:t>
      </w:r>
    </w:p>
    <w:sectPr>
      <w:footerReference w:type="default" r:id="rId7"/>
      <w:pgSz w:w="12240" w:h="15840" w:orient="portrait"/>
      <w:pgMar w:top="900" w:right="1180" w:bottom="780" w:left="1180" w:header="708"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jc w:val="center"/>
    </w:pPr>
    <w:r>
      <w:rPr>
        <w:rFonts w:ascii="Arial" w:cs="Arial" w:eastAsia="Arial" w:hAnsi="Arial"/>
        <w:color w:val="8A8983"/>
        <w:sz w:val="12"/>
        <w:szCs w:val="12"/>
      </w:rPr>
      <w:t xml:space="preserve">OpenMarket Africa · Digital Fusion Labs · Boroji Adebayo-Hopewell · hello@digitalfusionlabs.com · openmarket.africa · </w:t>
    </w:r>
    <w:r>
      <w:rPr>
        <w:rFonts w:ascii="Arial" w:cs="Arial" w:eastAsia="Arial" w:hAnsi="Arial"/>
        <w:b/>
        <w:bCs/>
        <w:color w:val="52514E"/>
        <w:sz w:val="12"/>
        <w:szCs w:val="12"/>
      </w:rPr>
      <w:fldChar w:fldCharType="begin"/>
      <w:instrText xml:space="preserve">PAGE</w:instrText>
      <w:fldChar w:fldCharType="separate"/>
      <w:fldChar w:fldCharType="end"/>
    </w:r>
    <w:r>
      <w:rPr>
        <w:rFonts w:ascii="Arial" w:cs="Arial" w:eastAsia="Arial" w:hAnsi="Arial"/>
        <w:color w:val="8A8983"/>
        <w:sz w:val="12"/>
        <w:szCs w:val="12"/>
      </w:rPr>
      <w:t xml:space="preserve"> of </w:t>
    </w:r>
    <w:r>
      <w:rPr>
        <w:rFonts w:ascii="Arial" w:cs="Arial" w:eastAsia="Arial" w:hAnsi="Arial"/>
        <w:color w:val="8A8983"/>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rFonts w:ascii="Georgia" w:cs="Georgia" w:eastAsia="Georgia" w:hAnsi="Georgia"/>
        <w:color w:val="EB6834"/>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B0B0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OpenMarket Africa — Partnership Brief</dc:title>
  <dc:subject>Partnership proposal for market associations, lenders, insurers and carriers</dc:subject>
  <dc:creator>Boroji Adebayo-Hopewell</dc:creator>
  <dc:description>Digital Fusion Labs. Partnership brief accompanying the full business plan.</dc:description>
  <cp:lastModifiedBy>Un-named</cp:lastModifiedBy>
  <cp:revision>1</cp:revision>
  <dcterms:created xsi:type="dcterms:W3CDTF">2026-07-29T10:57:28.895Z</dcterms:created>
  <dcterms:modified xsi:type="dcterms:W3CDTF">2026-07-29T10:57:28.896Z</dcterms:modified>
</cp:coreProperties>
</file>

<file path=docProps/custom.xml><?xml version="1.0" encoding="utf-8"?>
<Properties xmlns="http://schemas.openxmlformats.org/officeDocument/2006/custom-properties" xmlns:vt="http://schemas.openxmlformats.org/officeDocument/2006/docPropsVTypes"/>
</file>