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563EB"/>
          <w:sz w:val="56"/>
          <w:szCs w:val="56"/>
        </w:rPr>
        <w:t xml:space="preserve">DIGIFUSION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Intelligence Agency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1E40AF"/>
          <w:sz w:val="24"/>
          <w:szCs w:val="24"/>
        </w:rPr>
        <w:t xml:space="preserve">Agency Overview &amp; Capability Statement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www.digitafusion.com</w:t>
      </w:r>
    </w:p>
    <w:p>
      <w:pPr>
        <w:pBdr>
          <w:bottom w:val="single" w:color="2563EB" w:sz="4" w:space="1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Who We Are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DigiFusion is a next-generation intelligence agency that bridges the gap between strategy, automation, and digital execution. We exist to help ambitious businesses — from growing SMBs to enterprise organisations — operate with the intelligence, agility, and precision of a world-class consulting firm, without the overhead of one.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are not a traditional agency. We are an intelligence-powered partner that combines proprietary AI frameworks, battle-tested consulting methodologies, and deep domain expertise to deliver measurable business outcomes.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Mission &amp; Vision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Our Mission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 make elite strategic intelligence accessible — helping businesses of every size think bigger, execute smarter, and grow faster through automation and insight.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Our Vision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 world where every business has access to the same quality of strategic thinking that Fortune 500 companies take for granted — delivered intelligently, at scale.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What Makes DigiFusion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Intelligence-First Methodology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engagement begins with our Synthesizer intelligence engine, which ingests your industry's frameworks, case studies, and market data to build a proprietary knowledge brief before any strategy work begins. You get answers grounded in real evidence, not generic advice.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The DigiFusion Agent Network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Our internal AI agent network — Atlas, Nova, Aether, Pulse, Nexus, and the customer-facing Assistant — operates as a coordinated intelligence team. Each agent specialises in a domain (research, automation, content, analytics, coordination) and collaborates to deliver integrated outcomes.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Proprietary Agency IP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Through our Extract → Hybridize → Synthesize pipeline, we continuously build and refine a library of proprietary playbooks, frameworks, and methodologies that give our clients a genuine competitive edge — not recycled templates.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Outcome-Oriented Engagements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 price and structure every engagement around outcomes, not hours. Our clients know exactly what they are getting, what it costs, and how success is measured.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Core Service Areas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 Business Development &amp; Growth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design and execute growth strategies that combine market intelligence, competitor analysis, and go-to-market frameworks drawn from McKinsey, BCG, and proprietary DigiFusion IP. Services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Account-Based Marketing (ABM) strategy and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Sales methodology design (Challenger, SPIN, Miller Heiman)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Market entry strategy and competitive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Partnership and channel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Revenue operations design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 Intelligent Automation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replace manual operational overhead with intelligent automation stacks that run reliably without adding headcount. Services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Lead generation and nurture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CRM workflow design and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 onboarding and intake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Reporting and analytics pipeline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agent deployment for internal operations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 Digital Media &amp; Content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build content engines that generate demand, build authority, and convert consistently. Our content strategy is grounded in frameworks including RACE, See-Think-Do-Care, and the STP model. Services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strategy and editorial calendar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SEO and Agentic Engine Optimisation (AEO)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Social media strategy and content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Thought leadership and agency IP publishing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Brand positioning and messaging architecture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 Intelligence &amp; Analytics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turn your business data into actionable intelligence dashboards and decision frameworks. Services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 intelligence dashboard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Marketing performance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Customer journey mapping and attribution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AI-powered insight reporting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The DigiFusion Intelligence Network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Our internal AI agent network is the operational backbone of every DigiFusion engagement. Built on Anthropic's Claude architecture, the network consists of seven specialised agents: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2563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Synthesizer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Knowledge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Ingests PDFs and research; builds the intelligence knowledge base that powers all other agents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Atlas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Research &amp; BD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Conducts market research, competitive analysis, and business development strategy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Nova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Designs and documents automation workflows and operational systems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Aether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Content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Develops content strategy, editorial calendars, and thought leadership frameworks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Pulse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Analytics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Monitors performance metrics, generates insights, and flags opportunities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Nexus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Coordination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Orchestrates multi-agent workflows and manages complex cross-domain projects</w:t>
            </w:r>
          </w:p>
        </w:tc>
      </w:tr>
      <w:tr>
        <w:tc>
          <w:tcPr>
            <w:tcW w:type="dxa" w:w="2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Assistant</w:t>
            </w:r>
          </w:p>
        </w:tc>
        <w:tc>
          <w:tcPr>
            <w:tcW w:type="dxa" w:w="14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Customer VA</w:t>
            </w:r>
          </w:p>
        </w:tc>
        <w:tc>
          <w:tcPr>
            <w:tcW w:type="dxa" w:w="5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Serves as the client-facing virtual assistant, answering questions using the full knowledge base</w:t>
            </w:r>
          </w:p>
        </w:tc>
      </w:tr>
    </w:tbl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Our Methodology: Extract → Hybridize → Synthesize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Every DigiFusion engagement follows our proprietary three-phase intelligence pipeline: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1: Extract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begin by systematically extracting intelligence from the best available sources — industry frameworks (McKinsey 7S, BCG DAI, IBM Garage, AWS CAF, PwC Digital IQ, Capgemini), market research, case studies, and your own internal knowledge. Nothing is assumed; everything is evidence-based.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2: Hybridize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cross-reference multiple frameworks and sources to identify convergence points, contradictions, and white space. This hybridisation produces insights that no single framework can deliver — and creates a bespoke strategic lens tailored to your specific context.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Phase 3: Synthesize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 produce the final deliverable — whether a playbook, strategy document, automation blueprint, or content framework — combining the best of global consulting rigour with practical, actionable specificity. Every deliverable is publishable at KPMG or BCG quality standards.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Who We Work With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DigiFusion works with clients across three segments: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Growth-Stage SMBs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Businesses with 10–150 employees that need enterprise-grade strategy without an enterprise budget. Typically in their first or second major growth phase.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Creative &amp; Media Businesses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Agencies, studios, publishers, and content-led businesses looking to professionalise operations, build IP, and scale their client offering.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African &amp; Emerging Market Enterprises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Organisations operating in or targeting African and emerging markets, where DigiFusion brings specific expertise in fintech, creative industries, digital media, and SMB growth dynamics.</w:t>
      </w:r>
    </w:p>
    <w:p>
      <w:pPr>
        <w:spacing w:after="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Contact &amp; Engagement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To begin a conversation about how DigiFusion can support your business: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Website:  www.digitafusion.com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Email:    hello@digitafusion.com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Intelligence Platform:  www.digitafusion.com/intelligence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DigiFusion Intelligence Agency  |  Agency Overview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40A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2026-05-30T06:29:42.615Z</dcterms:created>
  <dcterms:modified xsi:type="dcterms:W3CDTF">2026-05-30T06:29:42.616Z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