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563EB"/>
          <w:sz w:val="56"/>
          <w:szCs w:val="56"/>
        </w:rPr>
        <w:t xml:space="preserve">DIGIFUSION</w:t>
      </w:r>
    </w:p>
    <w:p>
      <w:pPr>
        <w:spacing w:after="60" w:before="0"/>
        <w:jc w:val="center"/>
      </w:pPr>
      <w:r>
        <w:rPr>
          <w:rFonts w:ascii="Arial" w:cs="Arial" w:eastAsia="Arial" w:hAnsi="Arial"/>
          <w:b/>
          <w:bCs/>
          <w:color w:val="111827"/>
          <w:sz w:val="36"/>
          <w:szCs w:val="36"/>
        </w:rPr>
        <w:t xml:space="preserve">Services &amp; Pricing Guide</w:t>
      </w:r>
    </w:p>
    <w:p>
      <w:pPr>
        <w:spacing w:after="480" w:before="0"/>
        <w:jc w:val="center"/>
      </w:pPr>
      <w:r>
        <w:rPr>
          <w:rFonts w:ascii="Arial" w:cs="Arial" w:eastAsia="Arial" w:hAnsi="Arial"/>
          <w:i/>
          <w:iCs/>
          <w:color w:val="6B7280"/>
          <w:sz w:val="24"/>
          <w:szCs w:val="24"/>
        </w:rPr>
        <w:t xml:space="preserve">Engagement Tiers &amp; Investment Ranges</w:t>
      </w:r>
    </w:p>
    <w:p>
      <w:pPr>
        <w:pBdr>
          <w:bottom w:val="single" w:color="2563EB" w:sz="4" w:space="1"/>
        </w:pBdr>
        <w:spacing w:after="160" w:before="160"/>
      </w:pPr>
    </w:p>
    <w:p>
      <w:pPr>
        <w:pStyle w:val="Heading1"/>
        <w:spacing w:after="120" w:before="360"/>
      </w:pPr>
      <w:r>
        <w:rPr>
          <w:rFonts w:ascii="Arial" w:cs="Arial" w:eastAsia="Arial" w:hAnsi="Arial"/>
          <w:b/>
          <w:bCs/>
          <w:color w:val="111827"/>
          <w:sz w:val="32"/>
          <w:szCs w:val="32"/>
        </w:rPr>
        <w:t xml:space="preserve">How We Engage</w:t>
      </w:r>
    </w:p>
    <w:p>
      <w:pPr>
        <w:spacing w:after="80" w:before="80"/>
      </w:pPr>
      <w:r>
        <w:rPr>
          <w:rFonts w:ascii="Arial" w:cs="Arial" w:eastAsia="Arial" w:hAnsi="Arial"/>
          <w:b w:val="false"/>
          <w:bCs w:val="false"/>
          <w:color w:val="111827"/>
          <w:sz w:val="22"/>
          <w:szCs w:val="22"/>
        </w:rPr>
        <w:t xml:space="preserve">DigiFusion offers three primary engagement models designed to suit different business needs, timelines, and investment levels. All engagements include access to our Intelligence Platform and Agent Network during the project period.</w:t>
      </w:r>
    </w:p>
    <w:p>
      <w:pPr>
        <w:spacing w:after="0" w:before="160"/>
      </w:pPr>
    </w:p>
    <w:p>
      <w:pPr>
        <w:pStyle w:val="Heading1"/>
        <w:spacing w:after="120" w:before="360"/>
      </w:pPr>
      <w:r>
        <w:rPr>
          <w:rFonts w:ascii="Arial" w:cs="Arial" w:eastAsia="Arial" w:hAnsi="Arial"/>
          <w:b/>
          <w:bCs/>
          <w:color w:val="111827"/>
          <w:sz w:val="32"/>
          <w:szCs w:val="32"/>
        </w:rPr>
        <w:t xml:space="preserve">Engagement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2563EB"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Accelerate</w:t>
            </w:r>
          </w:p>
        </w:tc>
        <w:tc>
          <w:tcPr>
            <w:tcW w:type="dxa" w:w="3120"/>
            <w:tcBorders>
              <w:top w:val="single" w:color="DBEAFE" w:sz="1"/>
              <w:left w:val="single" w:color="DBEAFE" w:sz="1"/>
              <w:bottom w:val="single" w:color="DBEAFE" w:sz="1"/>
              <w:right w:val="single" w:color="DBEAFE" w:sz="1"/>
            </w:tcBorders>
            <w:shd w:fill="2563EB"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Scale</w:t>
            </w:r>
          </w:p>
        </w:tc>
        <w:tc>
          <w:tcPr>
            <w:tcW w:type="dxa" w:w="3120"/>
            <w:tcBorders>
              <w:top w:val="single" w:color="DBEAFE" w:sz="1"/>
              <w:left w:val="single" w:color="DBEAFE" w:sz="1"/>
              <w:bottom w:val="single" w:color="DBEAFE" w:sz="1"/>
              <w:right w:val="single" w:color="DBEAFE" w:sz="1"/>
            </w:tcBorders>
            <w:shd w:fill="2563EB"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Transform</w:t>
            </w:r>
          </w:p>
        </w:tc>
      </w:tr>
      <w:tr>
        <w:tc>
          <w:tcPr>
            <w:tcW w:type="dxa" w:w="3120"/>
            <w:tcBorders>
              <w:top w:val="single" w:color="DBEAFE" w:sz="1"/>
              <w:left w:val="single" w:color="DBEAFE" w:sz="1"/>
              <w:bottom w:val="single" w:color="DBEAFE" w:sz="1"/>
              <w:right w:val="single" w:color="DBEAFE" w:sz="1"/>
            </w:tcBorders>
            <w:shd w:fill="FFFFFF" w:val="clear"/>
            <w:tcMar>
              <w:top w:type="dxa" w:w="120"/>
              <w:left w:type="dxa" w:w="200"/>
              <w:bottom w:type="dxa" w:w="120"/>
              <w:right w:type="dxa" w:w="200"/>
            </w:tcMar>
          </w:tcPr>
          <w:p>
            <w:pPr>
              <w:jc w:val="center"/>
            </w:pPr>
            <w:r>
              <w:rPr>
                <w:rFonts w:ascii="Arial" w:cs="Arial" w:eastAsia="Arial" w:hAnsi="Arial"/>
                <w:i/>
                <w:iCs/>
                <w:color w:val="6B7280"/>
                <w:sz w:val="18"/>
                <w:szCs w:val="18"/>
              </w:rPr>
              <w:t xml:space="preserve">For growth-stage businesses ready to establish a professional foundation.</w:t>
            </w:r>
          </w:p>
        </w:tc>
        <w:tc>
          <w:tcPr>
            <w:tcW w:type="dxa" w:w="3120"/>
            <w:tcBorders>
              <w:top w:val="single" w:color="DBEAFE" w:sz="1"/>
              <w:left w:val="single" w:color="DBEAFE" w:sz="1"/>
              <w:bottom w:val="single" w:color="DBEAFE" w:sz="1"/>
              <w:right w:val="single" w:color="DBEAFE" w:sz="1"/>
            </w:tcBorders>
            <w:shd w:fill="EFF6FF" w:val="clear"/>
            <w:tcMar>
              <w:top w:type="dxa" w:w="120"/>
              <w:left w:type="dxa" w:w="200"/>
              <w:bottom w:type="dxa" w:w="120"/>
              <w:right w:type="dxa" w:w="200"/>
            </w:tcMar>
          </w:tcPr>
          <w:p>
            <w:pPr>
              <w:jc w:val="center"/>
            </w:pPr>
            <w:r>
              <w:rPr>
                <w:rFonts w:ascii="Arial" w:cs="Arial" w:eastAsia="Arial" w:hAnsi="Arial"/>
                <w:i/>
                <w:iCs/>
                <w:color w:val="6B7280"/>
                <w:sz w:val="18"/>
                <w:szCs w:val="18"/>
              </w:rPr>
              <w:t xml:space="preserve">For businesses scaling operations and needing systematic intelligence support.</w:t>
            </w:r>
          </w:p>
        </w:tc>
        <w:tc>
          <w:tcPr>
            <w:tcW w:type="dxa" w:w="3120"/>
            <w:tcBorders>
              <w:top w:val="single" w:color="DBEAFE" w:sz="1"/>
              <w:left w:val="single" w:color="DBEAFE" w:sz="1"/>
              <w:bottom w:val="single" w:color="DBEAFE" w:sz="1"/>
              <w:right w:val="single" w:color="DBEAFE" w:sz="1"/>
            </w:tcBorders>
            <w:shd w:fill="FFFFFF" w:val="clear"/>
            <w:tcMar>
              <w:top w:type="dxa" w:w="120"/>
              <w:left w:type="dxa" w:w="200"/>
              <w:bottom w:type="dxa" w:w="120"/>
              <w:right w:type="dxa" w:w="200"/>
            </w:tcMar>
          </w:tcPr>
          <w:p>
            <w:pPr>
              <w:jc w:val="center"/>
            </w:pPr>
            <w:r>
              <w:rPr>
                <w:rFonts w:ascii="Arial" w:cs="Arial" w:eastAsia="Arial" w:hAnsi="Arial"/>
                <w:i/>
                <w:iCs/>
                <w:color w:val="6B7280"/>
                <w:sz w:val="18"/>
                <w:szCs w:val="18"/>
              </w:rPr>
              <w:t xml:space="preserve">For organisations seeking deep partnership and ongoing strategic transformation.</w:t>
            </w:r>
          </w:p>
        </w:tc>
      </w:tr>
      <w:tr>
        <w:tc>
          <w:tcPr>
            <w:tcW w:type="dxa" w:w="3120"/>
            <w:tcBorders>
              <w:top w:val="single" w:color="DBEAFE" w:sz="1"/>
              <w:left w:val="single" w:color="DBEAFE" w:sz="1"/>
              <w:bottom w:val="single" w:color="DBEAFE" w:sz="1"/>
              <w:right w:val="single" w:color="DBEAFE" w:sz="1"/>
            </w:tcBorders>
            <w:shd w:fill="FFFFFF" w:val="clear"/>
            <w:tcMar>
              <w:top w:type="dxa" w:w="120"/>
              <w:left w:type="dxa" w:w="200"/>
              <w:bottom w:type="dxa" w:w="280"/>
              <w:right w:type="dxa" w:w="200"/>
            </w:tcMar>
          </w:tcPr>
          <w:p>
            <w:pPr>
              <w:jc w:val="center"/>
            </w:pPr>
            <w:r>
              <w:rPr>
                <w:rFonts w:ascii="Arial" w:cs="Arial" w:eastAsia="Arial" w:hAnsi="Arial"/>
                <w:b/>
                <w:bCs/>
                <w:color w:val="2563EB"/>
                <w:sz w:val="28"/>
                <w:szCs w:val="28"/>
              </w:rPr>
              <w:t xml:space="preserve">$2,500 – $7,500</w:t>
            </w:r>
          </w:p>
          <w:p>
            <w:pPr>
              <w:jc w:val="center"/>
            </w:pPr>
            <w:r>
              <w:rPr>
                <w:rFonts w:ascii="Arial" w:cs="Arial" w:eastAsia="Arial" w:hAnsi="Arial"/>
                <w:color w:val="6B7280"/>
                <w:sz w:val="18"/>
                <w:szCs w:val="18"/>
              </w:rPr>
              <w:t xml:space="preserve">per project / month</w:t>
            </w:r>
          </w:p>
        </w:tc>
        <w:tc>
          <w:tcPr>
            <w:tcW w:type="dxa" w:w="3120"/>
            <w:tcBorders>
              <w:top w:val="single" w:color="DBEAFE" w:sz="1"/>
              <w:left w:val="single" w:color="DBEAFE" w:sz="1"/>
              <w:bottom w:val="single" w:color="DBEAFE" w:sz="1"/>
              <w:right w:val="single" w:color="DBEAFE" w:sz="1"/>
            </w:tcBorders>
            <w:shd w:fill="EFF6FF" w:val="clear"/>
            <w:tcMar>
              <w:top w:type="dxa" w:w="120"/>
              <w:left w:type="dxa" w:w="200"/>
              <w:bottom w:type="dxa" w:w="280"/>
              <w:right w:type="dxa" w:w="200"/>
            </w:tcMar>
          </w:tcPr>
          <w:p>
            <w:pPr>
              <w:jc w:val="center"/>
            </w:pPr>
            <w:r>
              <w:rPr>
                <w:rFonts w:ascii="Arial" w:cs="Arial" w:eastAsia="Arial" w:hAnsi="Arial"/>
                <w:b/>
                <w:bCs/>
                <w:color w:val="2563EB"/>
                <w:sz w:val="28"/>
                <w:szCs w:val="28"/>
              </w:rPr>
              <w:t xml:space="preserve">$8,000 – $20,000</w:t>
            </w:r>
          </w:p>
          <w:p>
            <w:pPr>
              <w:jc w:val="center"/>
            </w:pPr>
            <w:r>
              <w:rPr>
                <w:rFonts w:ascii="Arial" w:cs="Arial" w:eastAsia="Arial" w:hAnsi="Arial"/>
                <w:color w:val="6B7280"/>
                <w:sz w:val="18"/>
                <w:szCs w:val="18"/>
              </w:rPr>
              <w:t xml:space="preserve">per project / month</w:t>
            </w:r>
          </w:p>
        </w:tc>
        <w:tc>
          <w:tcPr>
            <w:tcW w:type="dxa" w:w="3120"/>
            <w:tcBorders>
              <w:top w:val="single" w:color="DBEAFE" w:sz="1"/>
              <w:left w:val="single" w:color="DBEAFE" w:sz="1"/>
              <w:bottom w:val="single" w:color="DBEAFE" w:sz="1"/>
              <w:right w:val="single" w:color="DBEAFE" w:sz="1"/>
            </w:tcBorders>
            <w:shd w:fill="FFFFFF" w:val="clear"/>
            <w:tcMar>
              <w:top w:type="dxa" w:w="120"/>
              <w:left w:type="dxa" w:w="200"/>
              <w:bottom w:type="dxa" w:w="280"/>
              <w:right w:type="dxa" w:w="200"/>
            </w:tcMar>
          </w:tcPr>
          <w:p>
            <w:pPr>
              <w:jc w:val="center"/>
            </w:pPr>
            <w:r>
              <w:rPr>
                <w:rFonts w:ascii="Arial" w:cs="Arial" w:eastAsia="Arial" w:hAnsi="Arial"/>
                <w:b/>
                <w:bCs/>
                <w:color w:val="2563EB"/>
                <w:sz w:val="28"/>
                <w:szCs w:val="28"/>
              </w:rPr>
              <w:t xml:space="preserve">$22,000+</w:t>
            </w:r>
          </w:p>
          <w:p>
            <w:pPr>
              <w:jc w:val="center"/>
            </w:pPr>
            <w:r>
              <w:rPr>
                <w:rFonts w:ascii="Arial" w:cs="Arial" w:eastAsia="Arial" w:hAnsi="Arial"/>
                <w:color w:val="6B7280"/>
                <w:sz w:val="18"/>
                <w:szCs w:val="18"/>
              </w:rPr>
              <w:t xml:space="preserve">per project / month</w:t>
            </w:r>
          </w:p>
        </w:tc>
      </w:tr>
    </w:tbl>
    <w:p>
      <w:pPr>
        <w:spacing w:after="0" w:before="160"/>
      </w:pPr>
    </w:p>
    <w:p>
      <w:pPr>
        <w:pStyle w:val="Heading1"/>
        <w:spacing w:after="120" w:before="360"/>
      </w:pPr>
      <w:r>
        <w:rPr>
          <w:rFonts w:ascii="Arial" w:cs="Arial" w:eastAsia="Arial" w:hAnsi="Arial"/>
          <w:b/>
          <w:bCs/>
          <w:color w:val="111827"/>
          <w:sz w:val="32"/>
          <w:szCs w:val="32"/>
        </w:rPr>
        <w:t xml:space="preserve">Service Breakdown &amp; Pricing</w:t>
      </w:r>
    </w:p>
    <w:p>
      <w:pPr>
        <w:pStyle w:val="Heading2"/>
        <w:spacing w:after="100" w:before="280"/>
      </w:pPr>
      <w:r>
        <w:rPr>
          <w:rFonts w:ascii="Arial" w:cs="Arial" w:eastAsia="Arial" w:hAnsi="Arial"/>
          <w:b/>
          <w:bCs/>
          <w:color w:val="2563EB"/>
          <w:sz w:val="26"/>
          <w:szCs w:val="26"/>
        </w:rPr>
        <w:t xml:space="preserve">Business Development &amp; Growth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100"/>
        <w:gridCol w:w="1760"/>
      </w:tblGrid>
      <w:tr>
        <w:tc>
          <w:tcPr>
            <w:tcW w:type="dxa" w:w="550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210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Range</w:t>
            </w:r>
          </w:p>
        </w:tc>
        <w:tc>
          <w:tcPr>
            <w:tcW w:type="dxa" w:w="176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Tier</w:t>
            </w:r>
          </w:p>
        </w:tc>
      </w:tr>
      <w:tr>
        <w:tc>
          <w:tcPr>
            <w:tcW w:type="dxa" w:w="5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11827"/>
                <w:sz w:val="20"/>
                <w:szCs w:val="20"/>
              </w:rPr>
              <w:t xml:space="preserve">Growth Strategy Blueprint</w:t>
            </w:r>
          </w:p>
        </w:tc>
        <w:tc>
          <w:tcPr>
            <w:tcW w:type="dxa" w:w="21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$3,500 – $6,000</w:t>
            </w:r>
          </w:p>
        </w:tc>
        <w:tc>
          <w:tcPr>
            <w:tcW w:type="dxa" w:w="17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18"/>
                <w:szCs w:val="18"/>
              </w:rPr>
              <w:t xml:space="preserve">Accelerate</w:t>
            </w:r>
          </w:p>
        </w:tc>
      </w:tr>
      <w:tr>
        <w:tc>
          <w:tcPr>
            <w:tcW w:type="dxa" w:w="5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ABM Campaign Architecture</w:t>
            </w:r>
          </w:p>
        </w:tc>
        <w:tc>
          <w:tcPr>
            <w:tcW w:type="dxa" w:w="21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$4,000 – $9,000</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Accelerate / Scale</w:t>
            </w:r>
          </w:p>
        </w:tc>
      </w:tr>
      <w:tr>
        <w:tc>
          <w:tcPr>
            <w:tcW w:type="dxa" w:w="5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11827"/>
                <w:sz w:val="20"/>
                <w:szCs w:val="20"/>
              </w:rPr>
              <w:t xml:space="preserve">Sales Methodology Design</w:t>
            </w:r>
          </w:p>
        </w:tc>
        <w:tc>
          <w:tcPr>
            <w:tcW w:type="dxa" w:w="21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$2,500 – $5,500</w:t>
            </w:r>
          </w:p>
        </w:tc>
        <w:tc>
          <w:tcPr>
            <w:tcW w:type="dxa" w:w="17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18"/>
                <w:szCs w:val="18"/>
              </w:rPr>
              <w:t xml:space="preserve">Accelerate</w:t>
            </w:r>
          </w:p>
        </w:tc>
      </w:tr>
      <w:tr>
        <w:tc>
          <w:tcPr>
            <w:tcW w:type="dxa" w:w="5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Market Entry Strategy</w:t>
            </w:r>
          </w:p>
        </w:tc>
        <w:tc>
          <w:tcPr>
            <w:tcW w:type="dxa" w:w="21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$8,000 – $18,000</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Scale</w:t>
            </w:r>
          </w:p>
        </w:tc>
      </w:tr>
      <w:tr>
        <w:tc>
          <w:tcPr>
            <w:tcW w:type="dxa" w:w="5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11827"/>
                <w:sz w:val="20"/>
                <w:szCs w:val="20"/>
              </w:rPr>
              <w:t xml:space="preserve">Full Revenue Operations Design</w:t>
            </w:r>
          </w:p>
        </w:tc>
        <w:tc>
          <w:tcPr>
            <w:tcW w:type="dxa" w:w="21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$15,000 – $28,000</w:t>
            </w:r>
          </w:p>
        </w:tc>
        <w:tc>
          <w:tcPr>
            <w:tcW w:type="dxa" w:w="17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18"/>
                <w:szCs w:val="18"/>
              </w:rPr>
              <w:t xml:space="preserve">Transform</w:t>
            </w:r>
          </w:p>
        </w:tc>
      </w:tr>
      <w:tr>
        <w:tc>
          <w:tcPr>
            <w:tcW w:type="dxa" w:w="5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Quarterly Strategy Retainer</w:t>
            </w:r>
          </w:p>
        </w:tc>
        <w:tc>
          <w:tcPr>
            <w:tcW w:type="dxa" w:w="21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$3,500/mo</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All Tiers</w:t>
            </w:r>
          </w:p>
        </w:tc>
      </w:tr>
    </w:tbl>
    <w:p>
      <w:pPr>
        <w:spacing w:after="0" w:before="80"/>
      </w:pPr>
    </w:p>
    <w:p>
      <w:pPr>
        <w:pStyle w:val="Heading2"/>
        <w:spacing w:after="100" w:before="280"/>
      </w:pPr>
      <w:r>
        <w:rPr>
          <w:rFonts w:ascii="Arial" w:cs="Arial" w:eastAsia="Arial" w:hAnsi="Arial"/>
          <w:b/>
          <w:bCs/>
          <w:color w:val="2563EB"/>
          <w:sz w:val="26"/>
          <w:szCs w:val="26"/>
        </w:rPr>
        <w:t xml:space="preserve">Intelligent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100"/>
        <w:gridCol w:w="1760"/>
      </w:tblGrid>
      <w:tr>
        <w:tc>
          <w:tcPr>
            <w:tcW w:type="dxa" w:w="550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210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Range</w:t>
            </w:r>
          </w:p>
        </w:tc>
        <w:tc>
          <w:tcPr>
            <w:tcW w:type="dxa" w:w="176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Tier</w:t>
            </w:r>
          </w:p>
        </w:tc>
      </w:tr>
      <w:tr>
        <w:tc>
          <w:tcPr>
            <w:tcW w:type="dxa" w:w="5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11827"/>
                <w:sz w:val="20"/>
                <w:szCs w:val="20"/>
              </w:rPr>
              <w:t xml:space="preserve">Lead Capture &amp; Nurture Automation</w:t>
            </w:r>
          </w:p>
        </w:tc>
        <w:tc>
          <w:tcPr>
            <w:tcW w:type="dxa" w:w="21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$2,500 – $5,000</w:t>
            </w:r>
          </w:p>
        </w:tc>
        <w:tc>
          <w:tcPr>
            <w:tcW w:type="dxa" w:w="17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18"/>
                <w:szCs w:val="18"/>
              </w:rPr>
              <w:t xml:space="preserve">Accelerate</w:t>
            </w:r>
          </w:p>
        </w:tc>
      </w:tr>
      <w:tr>
        <w:tc>
          <w:tcPr>
            <w:tcW w:type="dxa" w:w="5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CRM Integration &amp; Workflow Build</w:t>
            </w:r>
          </w:p>
        </w:tc>
        <w:tc>
          <w:tcPr>
            <w:tcW w:type="dxa" w:w="21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$3,000 – $7,000</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Accelerate / Scale</w:t>
            </w:r>
          </w:p>
        </w:tc>
      </w:tr>
      <w:tr>
        <w:tc>
          <w:tcPr>
            <w:tcW w:type="dxa" w:w="5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11827"/>
                <w:sz w:val="20"/>
                <w:szCs w:val="20"/>
              </w:rPr>
              <w:t xml:space="preserve">Client Onboarding Automation Suite</w:t>
            </w:r>
          </w:p>
        </w:tc>
        <w:tc>
          <w:tcPr>
            <w:tcW w:type="dxa" w:w="21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$4,000 – $9,500</w:t>
            </w:r>
          </w:p>
        </w:tc>
        <w:tc>
          <w:tcPr>
            <w:tcW w:type="dxa" w:w="17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18"/>
                <w:szCs w:val="18"/>
              </w:rPr>
              <w:t xml:space="preserve">Scale</w:t>
            </w:r>
          </w:p>
        </w:tc>
      </w:tr>
      <w:tr>
        <w:tc>
          <w:tcPr>
            <w:tcW w:type="dxa" w:w="5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Hospitality Automation Suite</w:t>
            </w:r>
          </w:p>
        </w:tc>
        <w:tc>
          <w:tcPr>
            <w:tcW w:type="dxa" w:w="21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$5,000 – $12,000</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Scale</w:t>
            </w:r>
          </w:p>
        </w:tc>
      </w:tr>
      <w:tr>
        <w:tc>
          <w:tcPr>
            <w:tcW w:type="dxa" w:w="5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11827"/>
                <w:sz w:val="20"/>
                <w:szCs w:val="20"/>
              </w:rPr>
              <w:t xml:space="preserve">Full Operations Automation Stack</w:t>
            </w:r>
          </w:p>
        </w:tc>
        <w:tc>
          <w:tcPr>
            <w:tcW w:type="dxa" w:w="21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$12,000 – $25,000</w:t>
            </w:r>
          </w:p>
        </w:tc>
        <w:tc>
          <w:tcPr>
            <w:tcW w:type="dxa" w:w="17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18"/>
                <w:szCs w:val="18"/>
              </w:rPr>
              <w:t xml:space="preserve">Transform</w:t>
            </w:r>
          </w:p>
        </w:tc>
      </w:tr>
      <w:tr>
        <w:tc>
          <w:tcPr>
            <w:tcW w:type="dxa" w:w="5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AI Agent Deployment (Custom)</w:t>
            </w:r>
          </w:p>
        </w:tc>
        <w:tc>
          <w:tcPr>
            <w:tcW w:type="dxa" w:w="21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$8,000 – $30,000+</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Scale / Transform</w:t>
            </w:r>
          </w:p>
        </w:tc>
      </w:tr>
    </w:tbl>
    <w:p>
      <w:pPr>
        <w:spacing w:after="0" w:before="80"/>
      </w:pPr>
    </w:p>
    <w:p>
      <w:pPr>
        <w:pStyle w:val="Heading2"/>
        <w:spacing w:after="100" w:before="280"/>
      </w:pPr>
      <w:r>
        <w:rPr>
          <w:rFonts w:ascii="Arial" w:cs="Arial" w:eastAsia="Arial" w:hAnsi="Arial"/>
          <w:b/>
          <w:bCs/>
          <w:color w:val="2563EB"/>
          <w:sz w:val="26"/>
          <w:szCs w:val="26"/>
        </w:rPr>
        <w:t xml:space="preserve">Digital Media &amp; Content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100"/>
        <w:gridCol w:w="1760"/>
      </w:tblGrid>
      <w:tr>
        <w:tc>
          <w:tcPr>
            <w:tcW w:type="dxa" w:w="550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210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Range</w:t>
            </w:r>
          </w:p>
        </w:tc>
        <w:tc>
          <w:tcPr>
            <w:tcW w:type="dxa" w:w="176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Tier</w:t>
            </w:r>
          </w:p>
        </w:tc>
      </w:tr>
      <w:tr>
        <w:tc>
          <w:tcPr>
            <w:tcW w:type="dxa" w:w="5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11827"/>
                <w:sz w:val="20"/>
                <w:szCs w:val="20"/>
              </w:rPr>
              <w:t xml:space="preserve">Content Strategy &amp; 90-Day Editorial Plan</w:t>
            </w:r>
          </w:p>
        </w:tc>
        <w:tc>
          <w:tcPr>
            <w:tcW w:type="dxa" w:w="21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$2,000 – $4,500</w:t>
            </w:r>
          </w:p>
        </w:tc>
        <w:tc>
          <w:tcPr>
            <w:tcW w:type="dxa" w:w="17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18"/>
                <w:szCs w:val="18"/>
              </w:rPr>
              <w:t xml:space="preserve">Accelerate</w:t>
            </w:r>
          </w:p>
        </w:tc>
      </w:tr>
      <w:tr>
        <w:tc>
          <w:tcPr>
            <w:tcW w:type="dxa" w:w="5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SEO / AEO Audit &amp; Implementation Plan</w:t>
            </w:r>
          </w:p>
        </w:tc>
        <w:tc>
          <w:tcPr>
            <w:tcW w:type="dxa" w:w="21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$1,500 – $3,500</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Accelerate</w:t>
            </w:r>
          </w:p>
        </w:tc>
      </w:tr>
      <w:tr>
        <w:tc>
          <w:tcPr>
            <w:tcW w:type="dxa" w:w="5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11827"/>
                <w:sz w:val="20"/>
                <w:szCs w:val="20"/>
              </w:rPr>
              <w:t xml:space="preserve">Brand Positioning &amp; Messaging Architecture</w:t>
            </w:r>
          </w:p>
        </w:tc>
        <w:tc>
          <w:tcPr>
            <w:tcW w:type="dxa" w:w="21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$3,500 – $7,000</w:t>
            </w:r>
          </w:p>
        </w:tc>
        <w:tc>
          <w:tcPr>
            <w:tcW w:type="dxa" w:w="17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18"/>
                <w:szCs w:val="18"/>
              </w:rPr>
              <w:t xml:space="preserve">Accelerate / Scale</w:t>
            </w:r>
          </w:p>
        </w:tc>
      </w:tr>
      <w:tr>
        <w:tc>
          <w:tcPr>
            <w:tcW w:type="dxa" w:w="5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Thought Leadership Programme (3 months)</w:t>
            </w:r>
          </w:p>
        </w:tc>
        <w:tc>
          <w:tcPr>
            <w:tcW w:type="dxa" w:w="21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$5,000 – $10,000</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Scale</w:t>
            </w:r>
          </w:p>
        </w:tc>
      </w:tr>
      <w:tr>
        <w:tc>
          <w:tcPr>
            <w:tcW w:type="dxa" w:w="55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111827"/>
                <w:sz w:val="20"/>
                <w:szCs w:val="20"/>
              </w:rPr>
              <w:t xml:space="preserve">Full Content Engine Build (6 months)</w:t>
            </w:r>
          </w:p>
        </w:tc>
        <w:tc>
          <w:tcPr>
            <w:tcW w:type="dxa" w:w="21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$12,000 – $22,000</w:t>
            </w:r>
          </w:p>
        </w:tc>
        <w:tc>
          <w:tcPr>
            <w:tcW w:type="dxa" w:w="176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18"/>
                <w:szCs w:val="18"/>
              </w:rPr>
              <w:t xml:space="preserve">Transform</w:t>
            </w:r>
          </w:p>
        </w:tc>
      </w:tr>
      <w:tr>
        <w:tc>
          <w:tcPr>
            <w:tcW w:type="dxa" w:w="5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Monthly Content Retainer</w:t>
            </w:r>
          </w:p>
        </w:tc>
        <w:tc>
          <w:tcPr>
            <w:tcW w:type="dxa" w:w="21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$2,500/mo</w:t>
            </w:r>
          </w:p>
        </w:tc>
        <w:tc>
          <w:tcPr>
            <w:tcW w:type="dxa" w:w="176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All Tiers</w:t>
            </w:r>
          </w:p>
        </w:tc>
      </w:tr>
    </w:tbl>
    <w:p>
      <w:pPr>
        <w:spacing w:after="0" w:before="160"/>
      </w:pPr>
    </w:p>
    <w:p>
      <w:pPr>
        <w:pStyle w:val="Heading1"/>
        <w:spacing w:after="120" w:before="360"/>
      </w:pPr>
      <w:r>
        <w:rPr>
          <w:rFonts w:ascii="Arial" w:cs="Arial" w:eastAsia="Arial" w:hAnsi="Arial"/>
          <w:b/>
          <w:bCs/>
          <w:color w:val="111827"/>
          <w:sz w:val="32"/>
          <w:szCs w:val="32"/>
        </w:rPr>
        <w:t xml:space="preserve">What's Always Included</w:t>
      </w:r>
    </w:p>
    <w:p>
      <w:pPr>
        <w:spacing w:after="80" w:before="80"/>
      </w:pPr>
      <w:r>
        <w:rPr>
          <w:rFonts w:ascii="Arial" w:cs="Arial" w:eastAsia="Arial" w:hAnsi="Arial"/>
          <w:b w:val="false"/>
          <w:bCs w:val="false"/>
          <w:color w:val="111827"/>
          <w:sz w:val="22"/>
          <w:szCs w:val="22"/>
        </w:rPr>
        <w:t xml:space="preserve">Every DigiFusion engagement, regardless of tier, includes:</w:t>
      </w:r>
    </w:p>
    <w:p>
      <w:pPr>
        <w:pStyle w:val="ListParagraph"/>
        <w:numPr>
          <w:ilvl w:val="0"/>
          <w:numId w:val="2"/>
        </w:numPr>
        <w:spacing w:after="40" w:before="40"/>
      </w:pPr>
      <w:r>
        <w:rPr>
          <w:rFonts w:ascii="Arial" w:cs="Arial" w:eastAsia="Arial" w:hAnsi="Arial"/>
          <w:color w:val="111827"/>
          <w:sz w:val="22"/>
          <w:szCs w:val="22"/>
        </w:rPr>
        <w:t xml:space="preserve">Intelligence brief generated from our Synthesizer engine before work begins</w:t>
      </w:r>
    </w:p>
    <w:p>
      <w:pPr>
        <w:pStyle w:val="ListParagraph"/>
        <w:numPr>
          <w:ilvl w:val="0"/>
          <w:numId w:val="2"/>
        </w:numPr>
        <w:spacing w:after="40" w:before="40"/>
      </w:pPr>
      <w:r>
        <w:rPr>
          <w:rFonts w:ascii="Arial" w:cs="Arial" w:eastAsia="Arial" w:hAnsi="Arial"/>
          <w:color w:val="111827"/>
          <w:sz w:val="22"/>
          <w:szCs w:val="22"/>
        </w:rPr>
        <w:t xml:space="preserve">Access to relevant proprietary DigiFusion playbooks and frameworks</w:t>
      </w:r>
    </w:p>
    <w:p>
      <w:pPr>
        <w:pStyle w:val="ListParagraph"/>
        <w:numPr>
          <w:ilvl w:val="0"/>
          <w:numId w:val="2"/>
        </w:numPr>
        <w:spacing w:after="40" w:before="40"/>
      </w:pPr>
      <w:r>
        <w:rPr>
          <w:rFonts w:ascii="Arial" w:cs="Arial" w:eastAsia="Arial" w:hAnsi="Arial"/>
          <w:color w:val="111827"/>
          <w:sz w:val="22"/>
          <w:szCs w:val="22"/>
        </w:rPr>
        <w:t xml:space="preserve">Dedicated account coordination through Nexus</w:t>
      </w:r>
    </w:p>
    <w:p>
      <w:pPr>
        <w:pStyle w:val="ListParagraph"/>
        <w:numPr>
          <w:ilvl w:val="0"/>
          <w:numId w:val="2"/>
        </w:numPr>
        <w:spacing w:after="40" w:before="40"/>
      </w:pPr>
      <w:r>
        <w:rPr>
          <w:rFonts w:ascii="Arial" w:cs="Arial" w:eastAsia="Arial" w:hAnsi="Arial"/>
          <w:color w:val="111827"/>
          <w:sz w:val="22"/>
          <w:szCs w:val="22"/>
        </w:rPr>
        <w:t xml:space="preserve">Structured deliverables in professional, publishable format</w:t>
      </w:r>
    </w:p>
    <w:p>
      <w:pPr>
        <w:pStyle w:val="ListParagraph"/>
        <w:numPr>
          <w:ilvl w:val="0"/>
          <w:numId w:val="2"/>
        </w:numPr>
        <w:spacing w:after="40" w:before="40"/>
      </w:pPr>
      <w:r>
        <w:rPr>
          <w:rFonts w:ascii="Arial" w:cs="Arial" w:eastAsia="Arial" w:hAnsi="Arial"/>
          <w:color w:val="111827"/>
          <w:sz w:val="22"/>
          <w:szCs w:val="22"/>
        </w:rPr>
        <w:t xml:space="preserve">Post-delivery Q&amp;A and implementation support (2 weeks)</w:t>
      </w:r>
    </w:p>
    <w:p>
      <w:pPr>
        <w:spacing w:after="0" w:before="160"/>
      </w:pPr>
    </w:p>
    <w:p>
      <w:pPr>
        <w:pStyle w:val="Heading1"/>
        <w:spacing w:after="120" w:before="360"/>
      </w:pPr>
      <w:r>
        <w:rPr>
          <w:rFonts w:ascii="Arial" w:cs="Arial" w:eastAsia="Arial" w:hAnsi="Arial"/>
          <w:b/>
          <w:bCs/>
          <w:color w:val="111827"/>
          <w:sz w:val="32"/>
          <w:szCs w:val="32"/>
        </w:rPr>
        <w:t xml:space="preserve">Product Licences</w:t>
      </w:r>
    </w:p>
    <w:p>
      <w:pPr>
        <w:spacing w:after="80" w:before="80"/>
      </w:pPr>
      <w:r>
        <w:rPr>
          <w:rFonts w:ascii="Arial" w:cs="Arial" w:eastAsia="Arial" w:hAnsi="Arial"/>
          <w:b w:val="false"/>
          <w:bCs w:val="false"/>
          <w:color w:val="111827"/>
          <w:sz w:val="22"/>
          <w:szCs w:val="22"/>
        </w:rPr>
        <w:t xml:space="preserve">DigiFusion products (Vektor and AdPilot) can be licensed independently or as part of an engagement package. See the Product Descriptions guide for full details.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Product</w:t>
            </w:r>
          </w:p>
        </w:tc>
        <w:tc>
          <w:tcPr>
            <w:tcW w:type="dxa" w:w="240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Starting From</w:t>
            </w:r>
          </w:p>
        </w:tc>
        <w:tc>
          <w:tcPr>
            <w:tcW w:type="dxa" w:w="384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1E40AF"/>
                <w:sz w:val="20"/>
                <w:szCs w:val="20"/>
              </w:rPr>
              <w:t xml:space="preserve">Vektor</w:t>
            </w:r>
          </w:p>
        </w:tc>
        <w:tc>
          <w:tcPr>
            <w:tcW w:type="dxa" w:w="24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$199/mo</w:t>
            </w:r>
          </w:p>
        </w:tc>
        <w:tc>
          <w:tcPr>
            <w:tcW w:type="dxa" w:w="384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20"/>
                <w:szCs w:val="20"/>
              </w:rPr>
              <w:t xml:space="preserve">Knowledge and subscriber management platform</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E40AF"/>
                <w:sz w:val="20"/>
                <w:szCs w:val="20"/>
              </w:rPr>
              <w:t xml:space="preserve">AdPilot</w:t>
            </w:r>
          </w:p>
        </w:tc>
        <w:tc>
          <w:tcPr>
            <w:tcW w:type="dxa" w:w="24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2563EB"/>
                <w:sz w:val="20"/>
                <w:szCs w:val="20"/>
              </w:rPr>
              <w:t xml:space="preserve">$299/mo</w:t>
            </w:r>
          </w:p>
        </w:tc>
        <w:tc>
          <w:tcPr>
            <w:tcW w:type="dxa" w:w="384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AI-powered advertising automation platform</w:t>
            </w:r>
          </w:p>
        </w:tc>
      </w:tr>
      <w:tr>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1E40AF"/>
                <w:sz w:val="20"/>
                <w:szCs w:val="20"/>
              </w:rPr>
              <w:t xml:space="preserve">Intelligence Platform Access</w:t>
            </w:r>
          </w:p>
        </w:tc>
        <w:tc>
          <w:tcPr>
            <w:tcW w:type="dxa" w:w="240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bCs/>
                <w:color w:val="2563EB"/>
                <w:sz w:val="20"/>
                <w:szCs w:val="20"/>
              </w:rPr>
              <w:t xml:space="preserve">$149/mo</w:t>
            </w:r>
          </w:p>
        </w:tc>
        <w:tc>
          <w:tcPr>
            <w:tcW w:type="dxa" w:w="384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color w:val="6B7280"/>
                <w:sz w:val="20"/>
                <w:szCs w:val="20"/>
              </w:rPr>
              <w:t xml:space="preserve">Playbooks, frameworks, and methodology library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60"/>
              <w:left w:type="dxa" w:w="240"/>
              <w:bottom w:type="dxa" w:w="160"/>
              <w:right w:type="dxa" w:w="240"/>
            </w:tcMar>
          </w:tcPr>
          <w:p>
            <w:r>
              <w:rPr>
                <w:rFonts w:ascii="Arial" w:cs="Arial" w:eastAsia="Arial" w:hAnsi="Arial"/>
                <w:b/>
                <w:bCs/>
                <w:color w:val="2563EB"/>
                <w:sz w:val="22"/>
                <w:szCs w:val="22"/>
              </w:rPr>
              <w:t xml:space="preserve">Note on Pricing</w:t>
            </w:r>
          </w:p>
          <w:p>
            <w:r>
              <w:rPr>
                <w:rFonts w:ascii="Arial" w:cs="Arial" w:eastAsia="Arial" w:hAnsi="Arial"/>
                <w:color w:val="111827"/>
                <w:sz w:val="20"/>
                <w:szCs w:val="20"/>
              </w:rPr>
              <w:t xml:space="preserve">All prices are indicative ranges in USD. Final investment is scoped based on your specific context, business size, existing infrastructure, and desired outcomes. Contact us for a custom proposal.</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DigiFusion Intelligence Agency  |  Services &amp; Pricing Guide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2026-05-30T06:29:42.891Z</dcterms:created>
  <dcterms:modified xsi:type="dcterms:W3CDTF">2026-05-30T06:29:42.891Z</dcterms:modified>
</cp:coreProperties>
</file>

<file path=docProps/custom.xml><?xml version="1.0" encoding="utf-8"?>
<Properties xmlns="http://schemas.openxmlformats.org/officeDocument/2006/custom-properties" xmlns:vt="http://schemas.openxmlformats.org/officeDocument/2006/docPropsVTypes"/>
</file>