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sz w:val="22"/>
          <w:szCs w:val="22"/>
        </w:rPr>
        <w:t xml:space="preserve"/>
      </w:r>
    </w:p>
    <w:p>
      <w:pPr>
        <w:spacing w:after="60" w:before="0"/>
        <w:jc w:val="center"/>
      </w:pPr>
      <w:r>
        <w:rPr>
          <w:rFonts w:ascii="Arial" w:cs="Arial" w:eastAsia="Arial" w:hAnsi="Arial"/>
          <w:b/>
          <w:bCs/>
          <w:color w:val="0A2342"/>
          <w:sz w:val="72"/>
          <w:szCs w:val="72"/>
        </w:rPr>
        <w:t xml:space="preserve">OMNI</w:t>
      </w:r>
      <w:r>
        <w:rPr>
          <w:rFonts w:ascii="Arial" w:cs="Arial" w:eastAsia="Arial" w:hAnsi="Arial"/>
          <w:b/>
          <w:bCs/>
          <w:color w:val="C8102E"/>
          <w:sz w:val="72"/>
          <w:szCs w:val="72"/>
        </w:rPr>
        <w:t xml:space="preserve">CON</w:t>
      </w:r>
    </w:p>
    <w:p>
      <w:pPr>
        <w:spacing w:after="40" w:before="0"/>
        <w:jc w:val="center"/>
      </w:pPr>
      <w:r>
        <w:rPr>
          <w:rFonts w:ascii="Arial" w:cs="Arial" w:eastAsia="Arial" w:hAnsi="Arial"/>
          <w:b/>
          <w:bCs/>
          <w:color w:val="555555"/>
          <w:sz w:val="30"/>
          <w:szCs w:val="30"/>
        </w:rPr>
        <w:t xml:space="preserve">INTELLIGENCE PLATFORM</w:t>
      </w:r>
    </w:p>
    <w:p>
      <w:pPr>
        <w:pBdr>
          <w:bottom w:val="single" w:color="C8102E" w:sz="8"/>
        </w:pBdr>
        <w:spacing w:after="20" w:before="0"/>
        <w:jc w:val="center"/>
      </w:pPr>
      <w:r>
        <w:rPr>
          <w:rFonts w:ascii="Arial" w:cs="Arial" w:eastAsia="Arial" w:hAnsi="Arial"/>
          <w:i/>
          <w:iCs/>
          <w:color w:val="888888"/>
          <w:sz w:val="22"/>
          <w:szCs w:val="22"/>
        </w:rPr>
        <w:t xml:space="preserve">Comprehensive Business Plan  ·  June 2026</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Prepared By</w:t>
            </w:r>
          </w:p>
        </w:tc>
        <w:tc>
          <w:tcPr>
            <w:tcW w:type="dxa" w:w="69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Digital Fusion Labs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Author</w:t>
            </w:r>
          </w:p>
        </w:tc>
        <w:tc>
          <w:tcPr>
            <w:tcW w:type="dxa" w:w="6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Boroji Adebayo-Hopewell — Research &amp; Strategy Lead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CONFIDENTIAL — Proprietary &amp; Commercially Sensitive</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Version</w:t>
            </w:r>
          </w:p>
        </w:tc>
        <w:tc>
          <w:tcPr>
            <w:tcW w:type="dxa" w:w="6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v1.0 — June 2026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OmniCon Intelligence Platform — Full Engagement Proposal</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Client</w:t>
            </w:r>
          </w:p>
        </w:tc>
        <w:tc>
          <w:tcPr>
            <w:tcW w:type="dxa" w:w="6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[Confidential — Prospective Client]</w:t>
            </w:r>
          </w:p>
        </w:tc>
      </w:tr>
    </w:tbl>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A2342" w:val="clear"/>
          </w:tcPr>
          <w:p>
            <w:pPr>
              <w:spacing w:after="100" w:before="60"/>
            </w:pPr>
            <w:r>
              <w:rPr>
                <w:rFonts w:ascii="Arial" w:cs="Arial" w:eastAsia="Arial" w:hAnsi="Arial"/>
                <w:sz w:val="22"/>
                <w:szCs w:val="22"/>
              </w:rPr>
              <w:t xml:space="preserve"/>
            </w:r>
          </w:p>
        </w:tc>
        <w:tc>
          <w:tcPr>
            <w:tcW w:type="dxa" w:w="9060"/>
            <w:tcBorders>
              <w:top w:val="none" w:color="FFFFFF" w:sz="0"/>
              <w:left w:val="none" w:color="FFFFFF" w:sz="0"/>
              <w:bottom w:val="none" w:color="FFFFFF" w:sz="0"/>
              <w:right w:val="none" w:color="FFFFFF" w:sz="0"/>
            </w:tcBorders>
            <w:shd w:fill="EEF3FA" w:val="clear"/>
            <w:tcMar>
              <w:top w:type="dxa" w:w="140"/>
              <w:left w:type="dxa" w:w="200"/>
              <w:bottom w:type="dxa" w:w="140"/>
              <w:right w:type="dxa" w:w="140"/>
            </w:tcMar>
          </w:tcPr>
          <w:p>
            <w:pPr>
              <w:spacing w:after="0" w:before="0"/>
            </w:pPr>
            <w:r>
              <w:rPr>
                <w:rFonts w:ascii="Arial" w:cs="Arial" w:eastAsia="Arial" w:hAnsi="Arial"/>
                <w:i/>
                <w:iCs/>
                <w:sz w:val="21"/>
                <w:szCs w:val="21"/>
              </w:rPr>
              <w:t xml:space="preserve">This document is prepared exclusively by Digital Fusion Labs and is intended solely for the named recipient. Reproduction or distribution without written consent of Digital Fusion Labs is prohibited.</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1. Executive Summary</w:t>
      </w:r>
    </w:p>
    <w:p>
      <w:pPr>
        <w:spacing w:after="100" w:before="60"/>
      </w:pPr>
      <w:r>
        <w:rPr>
          <w:rFonts w:ascii="Arial" w:cs="Arial" w:eastAsia="Arial" w:hAnsi="Arial"/>
          <w:sz w:val="22"/>
          <w:szCs w:val="22"/>
        </w:rPr>
        <w:t xml:space="preserve">OmniCon is a next-generation, AI-native market intelligence and capture management platform built for the United States Government Contracting (GovCon) industry. It consolidates fragmented federal, state, local and education (SLED) procurement data into a single, intelligent platform — enabling contractors to discover opportunities, analyse competition, manage pursuits, and draft proposals faster than any existing solution on the market.</w:t>
      </w:r>
    </w:p>
    <w:p>
      <w:pPr>
        <w:spacing w:after="100" w:before="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platform is designed and will be delivered by Digital Fusion Labs under its proprietary Agentic Build Model — compressing what standard engineering teams build in 18 months into a 14–16 week initial deployment. This document outlines the market context, product architecture, financial projections, go-to-market strategy, risk profile, and engagement structure for the OmniCon platform.</w:t>
      </w:r>
    </w:p>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1.1 The Market Imperative</w:t>
      </w:r>
    </w:p>
    <w:p>
      <w:pPr>
        <w:spacing w:after="100" w:before="60"/>
      </w:pPr>
      <w:r>
        <w:rPr>
          <w:rFonts w:ascii="Arial" w:cs="Arial" w:eastAsia="Arial" w:hAnsi="Arial"/>
          <w:sz w:val="22"/>
          <w:szCs w:val="22"/>
        </w:rPr>
        <w:t xml:space="preserve">The combined US public procurement market — Federal ($700 billion) and SLED ($1.5 trillion) — represents $2.2 trillion in annual addressable spend. Despite this scale, the intelligence tools available to government contractors are fragmented, outdated, and inaccessible to the majority of the market. The two dominant players, Deltek GovWin and Bloomberg Government, charge $10,000–$30,000 per year per seat, excluding 95% of the small-to-medium contractor market. GovTribe, the most accessible alternative at $1,350–$5,500 per year, holds a defensible position but is architecturally limited and increasingly dependent on a parent media company (GovExec) for direction.</w:t>
      </w:r>
    </w:p>
    <w:p>
      <w:pPr>
        <w:spacing w:after="100" w:before="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OmniCon enters as an AI-first challenger: lower price point, superior AI integration, broader data coverage, and a modern UX designed for the contractor workflow — not the bureaucrat.</w:t>
      </w:r>
    </w:p>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1.2 Strategic Recommendation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Position</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Market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US GovCon — Federal + SLED procurement intelligence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Target Customer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Small-to-mid GovCon firms (5–200 staff), BD managers, proposal writers</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Primary Competitor</w:t>
            </w:r>
          </w:p>
        </w:tc>
        <w:tc>
          <w:tcPr>
            <w:tcW w:type="dxa" w:w="6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GovTribe (acquired by GovExec, 2021)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Differentiation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AI-native architecture, MCP integration, SLED breadth, price accessibility</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Build Strategy</w:t>
            </w:r>
          </w:p>
        </w:tc>
        <w:tc>
          <w:tcPr>
            <w:tcW w:type="dxa" w:w="6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Phase 1: MCP Hybrid (14–16 wks, $80K–$120K) → Phase 2: Sovereign Engine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SaaS — Professional $150/user/mo · Enterprise Capture $350/user/mo</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Year 1 ARR Target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$840,000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Year 5 ARR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$40,300,000 at 53.8% EBITDA margin</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Total Phase 1+2 Investment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$200,000–$300,000</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2. Market Analysis</w:t>
      </w:r>
    </w:p>
    <w:p>
      <w:pPr>
        <w:pStyle w:val="Heading2"/>
        <w:spacing w:after="80" w:before="240"/>
      </w:pPr>
      <w:r>
        <w:rPr>
          <w:rFonts w:ascii="Arial" w:cs="Arial" w:eastAsia="Arial" w:hAnsi="Arial"/>
          <w:b/>
          <w:bCs/>
          <w:color w:val="C8102E"/>
          <w:sz w:val="25"/>
          <w:szCs w:val="25"/>
        </w:rPr>
        <w:t xml:space="preserve">2.1 Total Addressable Market</w:t>
      </w:r>
    </w:p>
    <w:p>
      <w:pPr>
        <w:spacing w:after="100" w:before="60"/>
      </w:pPr>
      <w:r>
        <w:rPr>
          <w:rFonts w:ascii="Arial" w:cs="Arial" w:eastAsia="Arial" w:hAnsi="Arial"/>
          <w:sz w:val="22"/>
          <w:szCs w:val="22"/>
        </w:rPr>
        <w:t xml:space="preserve">The GovCon market intelligence TAM is derived from the intersection of active government contractors and their willingness to invest in procurement intelligence tooling. As of 2025, SAM.gov registers approximately 450,000 active vendors. Applying conservative penetration assumptions across three tiers yields the following market sizing:</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760"/>
        <w:gridCol w:w="1400"/>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Segment</w:t>
            </w:r>
          </w:p>
        </w:tc>
        <w:tc>
          <w:tcPr>
            <w:tcW w:type="dxa" w:w="20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Active Vendors</w:t>
            </w:r>
          </w:p>
        </w:tc>
        <w:tc>
          <w:tcPr>
            <w:tcW w:type="dxa" w:w="20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SAM Registered</w:t>
            </w:r>
          </w:p>
        </w:tc>
        <w:tc>
          <w:tcPr>
            <w:tcW w:type="dxa" w:w="17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Tool Penetration</w:t>
            </w:r>
          </w:p>
        </w:tc>
        <w:tc>
          <w:tcPr>
            <w:tcW w:type="dxa" w:w="1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Serviceable Market</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Contractors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~175,000</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Yes</w:t>
            </w:r>
          </w:p>
        </w:tc>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22%</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~38,500 firms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SLED Contractors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~275,000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Partial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~24,750 firms</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Combined TAM at $2,400/yr avg</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$151M ARR at current rates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OmniCon SAM at $1,800/yr avg (blended)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$113M ARR serviceable</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OmniCon SOM (5-year target)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~32%</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$40M ARR — achievable</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400"/>
        <w:gridCol w:w="1360"/>
      </w:tblGrid>
      <w:tr>
        <w:trPr>
          <w:tblHeader/>
        </w:trPr>
        <w:tc>
          <w:tcPr>
            <w:tcW w:type="dxa" w:w="22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Platform</w:t>
            </w:r>
          </w:p>
        </w:tc>
        <w:tc>
          <w:tcPr>
            <w:tcW w:type="dxa" w:w="14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Price/yr</w:t>
            </w:r>
          </w:p>
        </w:tc>
        <w:tc>
          <w:tcPr>
            <w:tcW w:type="dxa" w:w="14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AI Layer</w:t>
            </w:r>
          </w:p>
        </w:tc>
        <w:tc>
          <w:tcPr>
            <w:tcW w:type="dxa" w:w="16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SLED Coverage</w:t>
            </w:r>
          </w:p>
        </w:tc>
        <w:tc>
          <w:tcPr>
            <w:tcW w:type="dxa" w:w="14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MCP/API</w:t>
            </w:r>
          </w:p>
        </w:tc>
        <w:tc>
          <w:tcPr>
            <w:tcW w:type="dxa" w:w="136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Weakness</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Deltek GovWin</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$10K–$30K</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Basic</w:t>
            </w:r>
          </w:p>
        </w:tc>
        <w:tc>
          <w:tcPr>
            <w:tcW w:type="dxa" w:w="1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only</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w:t>
            </w:r>
          </w:p>
        </w:tc>
        <w:tc>
          <w:tcPr>
            <w:tcW w:type="dxa" w:w="1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Price, UX, no AI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Bloomberg Government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$15K–$40K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Price, legacy tech</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GovTribe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$1,350–$5,500</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Moderate (MCP)</w:t>
            </w:r>
          </w:p>
        </w:tc>
        <w:tc>
          <w:tcPr>
            <w:tcW w:type="dxa" w:w="1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Limited</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Yes</w:t>
            </w:r>
          </w:p>
        </w:tc>
        <w:tc>
          <w:tcPr>
            <w:tcW w:type="dxa" w:w="1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Parent co distraction, SLED gaps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USASpending.gov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Partial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 CRM, no AI, raw data only</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OmniCon (proposed)</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$1,800–$4,200</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Native RAG+MCP</w:t>
            </w:r>
          </w:p>
        </w:tc>
        <w:tc>
          <w:tcPr>
            <w:tcW w:type="dxa" w:w="1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 SLED</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Yes</w:t>
            </w:r>
          </w:p>
        </w:tc>
        <w:tc>
          <w:tcPr>
            <w:tcW w:type="dxa" w:w="1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New entrant — trust building</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2.3 Customer Segmentation &amp; Pain Points</w:t>
      </w:r>
    </w:p>
    <w:p>
      <w:pPr>
        <w:spacing w:after="100" w:before="60"/>
      </w:pPr>
      <w:r>
        <w:rPr>
          <w:rFonts w:ascii="Arial" w:cs="Arial" w:eastAsia="Arial" w:hAnsi="Arial"/>
          <w:sz w:val="22"/>
          <w:szCs w:val="22"/>
        </w:rPr>
        <w:t xml:space="preserve">Primary research across GovCon BD communities identifies three recurring pain themes:</w:t>
      </w:r>
    </w:p>
    <w:p>
      <w:pPr>
        <w:spacing w:after="10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Pain 1 — </w:t>
      </w:r>
      <w:r>
        <w:rPr>
          <w:rFonts w:ascii="Arial" w:cs="Arial" w:eastAsia="Arial" w:hAnsi="Arial"/>
          <w:sz w:val="22"/>
          <w:szCs w:val="22"/>
        </w:rPr>
        <w:t xml:space="preserve">Data fragmentation: Federal data is centralised (SAM.gov) but SLED data requires visiting thousands of state and county portals. No single tool aggregates both reliably.</w:t>
      </w:r>
    </w:p>
    <w:p>
      <w:pPr>
        <w:pStyle w:val="ListParagraph"/>
        <w:numPr>
          <w:ilvl w:val="0"/>
          <w:numId w:val="2"/>
        </w:numPr>
        <w:spacing w:after="40" w:before="40"/>
      </w:pPr>
      <w:r>
        <w:rPr>
          <w:rFonts w:ascii="Arial" w:cs="Arial" w:eastAsia="Arial" w:hAnsi="Arial"/>
          <w:b/>
          <w:bCs/>
          <w:sz w:val="22"/>
          <w:szCs w:val="22"/>
        </w:rPr>
        <w:t xml:space="preserve">Pain 2 — </w:t>
      </w:r>
      <w:r>
        <w:rPr>
          <w:rFonts w:ascii="Arial" w:cs="Arial" w:eastAsia="Arial" w:hAnsi="Arial"/>
          <w:sz w:val="22"/>
          <w:szCs w:val="22"/>
        </w:rPr>
        <w:t xml:space="preserve">AI deficit: Existing tools surface data but do not synthesise it. BD managers spend 60–70% of their time reading and summarising RFPs rather than strategising.</w:t>
      </w:r>
    </w:p>
    <w:p>
      <w:pPr>
        <w:pStyle w:val="ListParagraph"/>
        <w:numPr>
          <w:ilvl w:val="0"/>
          <w:numId w:val="2"/>
        </w:numPr>
        <w:spacing w:after="40" w:before="40"/>
      </w:pPr>
      <w:r>
        <w:rPr>
          <w:rFonts w:ascii="Arial" w:cs="Arial" w:eastAsia="Arial" w:hAnsi="Arial"/>
          <w:b/>
          <w:bCs/>
          <w:sz w:val="22"/>
          <w:szCs w:val="22"/>
        </w:rPr>
        <w:t xml:space="preserve">Pain 3 — </w:t>
      </w:r>
      <w:r>
        <w:rPr>
          <w:rFonts w:ascii="Arial" w:cs="Arial" w:eastAsia="Arial" w:hAnsi="Arial"/>
          <w:sz w:val="22"/>
          <w:szCs w:val="22"/>
        </w:rPr>
        <w:t xml:space="preserve">Price exclusion: The best tools cost more than many SMB contractors' monthly BD budget. 85% of the market is either unserved or self-served via free government portals.</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8102E" w:val="clear"/>
          </w:tcPr>
          <w:p>
            <w:pPr>
              <w:spacing w:after="100" w:before="60"/>
            </w:pPr>
            <w:r>
              <w:rPr>
                <w:rFonts w:ascii="Arial" w:cs="Arial" w:eastAsia="Arial" w:hAnsi="Arial"/>
                <w:sz w:val="22"/>
                <w:szCs w:val="22"/>
              </w:rPr>
              <w:t xml:space="preserve"/>
            </w:r>
          </w:p>
        </w:tc>
        <w:tc>
          <w:tcPr>
            <w:tcW w:type="dxa" w:w="9060"/>
            <w:tcBorders>
              <w:top w:val="none" w:color="FFFFFF" w:sz="0"/>
              <w:left w:val="none" w:color="FFFFFF" w:sz="0"/>
              <w:bottom w:val="none" w:color="FFFFFF" w:sz="0"/>
              <w:right w:val="none" w:color="FFFFFF" w:sz="0"/>
            </w:tcBorders>
            <w:shd w:fill="EEF3FA" w:val="clear"/>
            <w:tcMar>
              <w:top w:type="dxa" w:w="140"/>
              <w:left w:type="dxa" w:w="200"/>
              <w:bottom w:type="dxa" w:w="140"/>
              <w:right w:type="dxa" w:w="140"/>
            </w:tcMar>
          </w:tcPr>
          <w:p>
            <w:pPr>
              <w:spacing w:after="0" w:before="0"/>
            </w:pPr>
            <w:r>
              <w:rPr>
                <w:rFonts w:ascii="Arial" w:cs="Arial" w:eastAsia="Arial" w:hAnsi="Arial"/>
                <w:i/>
                <w:iCs/>
                <w:sz w:val="21"/>
                <w:szCs w:val="21"/>
              </w:rPr>
              <w:t xml:space="preserve">OmniCon's product thesis is built directly on these three pain points: unified data, AI-native synthesis, and accessible pricing. Each feature maps to a documented, validated problem.</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3. Product Architecture &amp; Feature Set</w:t>
      </w:r>
    </w:p>
    <w:p>
      <w:pPr>
        <w:pStyle w:val="Heading2"/>
        <w:spacing w:after="80" w:before="240"/>
      </w:pPr>
      <w:r>
        <w:rPr>
          <w:rFonts w:ascii="Arial" w:cs="Arial" w:eastAsia="Arial" w:hAnsi="Arial"/>
          <w:b/>
          <w:bCs/>
          <w:color w:val="C8102E"/>
          <w:sz w:val="25"/>
          <w:szCs w:val="25"/>
        </w:rPr>
        <w:t xml:space="preserve">3.1 The Five Core Modules</w:t>
      </w:r>
    </w:p>
    <w:p>
      <w:pPr>
        <w:spacing w:after="100" w:before="60"/>
      </w:pPr>
      <w:r>
        <w:rPr>
          <w:rFonts w:ascii="Arial" w:cs="Arial" w:eastAsia="Arial" w:hAnsi="Arial"/>
          <w:sz w:val="22"/>
          <w:szCs w:val="22"/>
        </w:rPr>
        <w:t xml:space="preserve">OmniCon is structured around five interconnected modules that mirror the natural workflow of a GovCon BD professional — from opportunity discovery through to proposal submission.</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400"/>
        <w:gridCol w:w="2400"/>
      </w:tblGrid>
      <w:tr>
        <w:trPr>
          <w:tblHeader/>
        </w:trPr>
        <w:tc>
          <w:tcPr>
            <w:tcW w:type="dxa" w:w="20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Module</w:t>
            </w:r>
          </w:p>
        </w:tc>
        <w:tc>
          <w:tcPr>
            <w:tcW w:type="dxa" w:w="25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Core Function</w:t>
            </w:r>
          </w:p>
        </w:tc>
        <w:tc>
          <w:tcPr>
            <w:tcW w:type="dxa" w:w="2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Key Technologies</w:t>
            </w:r>
          </w:p>
        </w:tc>
        <w:tc>
          <w:tcPr>
            <w:tcW w:type="dxa" w:w="2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Competitive Advantage</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Universal Intelligence Search</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Unified search across all federal and SLED procurement databases with Boolean + semantic hybrid</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Elasticsearch v8 + Qdrant vector DB + hybrid tokeniser</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Sub-second full-text search across millions of government PDFs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Opportunity Detail Profiles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Granular RFP/RFQ profiles with document ledger, amendment tracking, and AI analysis overlay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OCR (Tesseract + Apache Tika) + LLM context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'Let Me Help' AI overlay drafts proposal matrix from embedded document vectors</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Capture CRM (Kanban)</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Pipeline management: Identify → Qualify → Pursue → Bid → Won/Lost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PostgreSQL with Row-Level Security + real-time sync</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Auto-flags pipeline cards when source portal issues amendments or deadline changes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Entity Profiler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Agency spend analysis, Contracting Officer histories, competitor teaming network graphs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Graph DB + PostgreSQL aggregation 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Teaming correlation matrices showing which vendors win together — not available elsewhere</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 Analyst + MCP Server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LLM-powered analysis of any record + external agent integration via Model Context Protocol</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LangChain RAG + Claude/GPT-4o + MCP protocol server</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Users can connect ChatGPT, Claude, or Copilot directly to OmniCon's live data</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3.2 System Architecture —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Layer</w:t>
            </w:r>
          </w:p>
        </w:tc>
        <w:tc>
          <w:tcPr>
            <w:tcW w:type="dxa" w:w="4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Components</w:t>
            </w:r>
          </w:p>
        </w:tc>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Responsibility</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L1 — Ingestion</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Scrapy Cluster, Apache Airflow, Celery Workers, Redis, Kafka</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Hourly scraping of federal APIs + SLED portals; raw blobs to S3/MinIO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L2 — Enrichment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Apache Tika, Tesseract OCR, Python ETL microservices, AI Layout Parser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PDF → structured text; ISO 8601 normalisation; cryptographic dedup</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L3 — Storage &amp; Index</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PostgreSQL v16 (RLS), Elasticsearch v8, Qdrant, MinIO/S3</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Relational integrity, full-text search, vector/semantic retrieval, document lake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L4 — AI Core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LangChain/LlamaIndex RAG, Claude 3.5 Sonnet/GPT-4o, FastAPI, MCP 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Context assembly, RAG execution, tool coordination, external agent integration</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L5 — Application</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NestJS REST/GraphQL, React v19 + TypeScript + TailwindCSS, Kubernetes</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Multi-tenant SaaS; RBAC; Stripe billing; client-facing interface</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3.3 Data Coverage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Source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Update Frequency</w:t>
            </w:r>
          </w:p>
        </w:tc>
        <w:tc>
          <w:tcPr>
            <w:tcW w:type="dxa" w:w="2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Coverage</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SAM.gov</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REST API</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Hourly</w:t>
            </w:r>
          </w:p>
        </w:tc>
        <w:tc>
          <w:tcPr>
            <w:tcW w:type="dxa" w:w="2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All active opportunities, awards, IDVs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FPDS-NG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SOAP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Daily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Full award history + contractor profiles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USASpending.gov</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REST API</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Daily</w:t>
            </w:r>
          </w:p>
        </w:tc>
        <w:tc>
          <w:tcPr>
            <w:tcW w:type="dxa" w:w="2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Award financials, agency spend analytics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Grants.gov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Daily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Grant opportunities across all agencies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State Procurement Portals (×50)</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Web Scrapers</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Daily</w:t>
            </w:r>
          </w:p>
        </w:tc>
        <w:tc>
          <w:tcPr>
            <w:tcW w:type="dxa" w:w="2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All 50 states — RFPs, IFBs, RFQs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Local/County Boards (×1,000+)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 Layout Parser + Scrapy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Weekly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Major metropolitan procurement boards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Proxy/Anti-block Layer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Bright Data + Playwright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Always-on</w:t>
            </w:r>
          </w:p>
        </w:tc>
        <w:tc>
          <w:tcPr>
            <w:tcW w:type="dxa" w:w="2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Prevents IP blocking on SLED portals</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4. Build Strategy — Two-Path Architecture</w:t>
      </w:r>
    </w:p>
    <w:p>
      <w:pPr>
        <w:pStyle w:val="Heading2"/>
        <w:spacing w:after="80" w:before="240"/>
      </w:pPr>
      <w:r>
        <w:rPr>
          <w:rFonts w:ascii="Arial" w:cs="Arial" w:eastAsia="Arial" w:hAnsi="Arial"/>
          <w:b/>
          <w:bCs/>
          <w:color w:val="C8102E"/>
          <w:sz w:val="25"/>
          <w:szCs w:val="25"/>
        </w:rPr>
        <w:t xml:space="preserve">4.1 The Case for Sequential Phasing</w:t>
      </w:r>
    </w:p>
    <w:p>
      <w:pPr>
        <w:spacing w:after="100" w:before="60"/>
      </w:pPr>
      <w:r>
        <w:rPr>
          <w:rFonts w:ascii="Arial" w:cs="Arial" w:eastAsia="Arial" w:hAnsi="Arial"/>
          <w:sz w:val="22"/>
          <w:szCs w:val="22"/>
        </w:rPr>
        <w:t xml:space="preserve">The most common failure mode in GovCon platform builds is attempting full data sovereignty on Day 1. This requires 12–18 months before a single paying customer can be onboarded, burning capital at $30,000–$50,000 per month with no revenue to offset it. Digital Fusion Labs recommends a proven sequential model that inverts this risk profile.</w:t>
      </w:r>
    </w:p>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4.2 Phase 1 — MCP Hybrid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Dimension</w:t>
            </w:r>
          </w:p>
        </w:tc>
        <w:tc>
          <w:tcPr>
            <w:tcW w:type="dxa" w:w="6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Approach</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Build OmniCon's full product stack (UI, CRM, AI layer, Entity Profiler) on top of GovTribe's own MCP server and public API infrastructure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Timeline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14–16 weeks from signed engagement to live MVP</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Capital Required</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$80,000 – $120,000 (fixed scope, fixed price)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Data Coverage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Full federal coverage (SAM/FPDS/USASpending/Grants) + GovTribe's existing SLED aggregation</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First Revenue</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Achievable at Week 12 with beta customers — before full build completes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Key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GovTribe API terms or pricing change — mitigated by Phase 2 roadmap and API contract terms</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Outcome</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Live, revenue-generating SaaS platform — market validated, customer paying, funding unlocked</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4.3 Phase 2 — Sovereign Data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Dimension</w:t>
            </w:r>
          </w:p>
        </w:tc>
        <w:tc>
          <w:tcPr>
            <w:tcW w:type="dxa" w:w="6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Approach</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Replace GovTribe API dependency with fully owned ingestion infrastructure — Scrapy, Kafka, Elasticsearch, Qdrant, PostgreSQL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Timeline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12–16 weeks (concurrent with Phase 1 revenue operations)</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Additional Investment</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$120,000 – $180,000 — funded by Phase 1 ARR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New Data Coverage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All 50 state portals + 1,000+ local boards — coverage GovTribe does not offer</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Operational Cost</w:t>
            </w:r>
          </w:p>
        </w:tc>
        <w:tc>
          <w:tcPr>
            <w:tcW w:type="dxa" w:w="6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40% of engineering effort ongoing for scraper maintenance — managed by DFL retainer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Outcome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Full data sovereignty, zero API dependency, proprietary data moat, SLED coverage advantage</w:t>
            </w:r>
          </w:p>
        </w:tc>
      </w:tr>
    </w:tbl>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9A84C" w:val="clear"/>
          </w:tcPr>
          <w:p>
            <w:pPr>
              <w:spacing w:after="100" w:before="60"/>
            </w:pPr>
            <w:r>
              <w:rPr>
                <w:rFonts w:ascii="Arial" w:cs="Arial" w:eastAsia="Arial" w:hAnsi="Arial"/>
                <w:sz w:val="22"/>
                <w:szCs w:val="22"/>
              </w:rPr>
              <w:t xml:space="preserve"/>
            </w:r>
          </w:p>
        </w:tc>
        <w:tc>
          <w:tcPr>
            <w:tcW w:type="dxa" w:w="9060"/>
            <w:tcBorders>
              <w:top w:val="none" w:color="FFFFFF" w:sz="0"/>
              <w:left w:val="none" w:color="FFFFFF" w:sz="0"/>
              <w:bottom w:val="none" w:color="FFFFFF" w:sz="0"/>
              <w:right w:val="none" w:color="FFFFFF" w:sz="0"/>
            </w:tcBorders>
            <w:shd w:fill="EEF3FA" w:val="clear"/>
            <w:tcMar>
              <w:top w:type="dxa" w:w="140"/>
              <w:left w:type="dxa" w:w="200"/>
              <w:bottom w:type="dxa" w:w="140"/>
              <w:right w:type="dxa" w:w="140"/>
            </w:tcMar>
          </w:tcPr>
          <w:p>
            <w:pPr>
              <w:spacing w:after="0" w:before="0"/>
            </w:pPr>
            <w:r>
              <w:rPr>
                <w:rFonts w:ascii="Arial" w:cs="Arial" w:eastAsia="Arial" w:hAnsi="Arial"/>
                <w:i/>
                <w:iCs/>
                <w:sz w:val="21"/>
                <w:szCs w:val="21"/>
              </w:rPr>
              <w:t xml:space="preserve">Phase 2 is not optional for long-term defensibility. The IP value of OmniCon is in its data — specifically the normalised, deduplicated, AI-enriched SLED data that no competitor currently aggregates at scale. Phase 2 builds that moat.</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4.4 The Digital Fusion Labs Agentic Build Model</w:t>
      </w:r>
    </w:p>
    <w:p>
      <w:pPr>
        <w:spacing w:after="100" w:before="60"/>
      </w:pPr>
      <w:r>
        <w:rPr>
          <w:rFonts w:ascii="Arial" w:cs="Arial" w:eastAsia="Arial" w:hAnsi="Arial"/>
          <w:sz w:val="22"/>
          <w:szCs w:val="22"/>
        </w:rPr>
        <w:t xml:space="preserve">DFL's delivery infrastructure is our primary competitive advantage as a delivery partner. We do not build with conventional engineering teams. We operate a coordinated system of specialised AI agents under senior human oversight:</w:t>
      </w:r>
    </w:p>
    <w:p>
      <w:pPr>
        <w:spacing w:after="10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Schema Agent: Designs and writes SQL migrations, Elasticsearch mappings, and data schemas</w:t>
      </w:r>
    </w:p>
    <w:p>
      <w:pPr>
        <w:pStyle w:val="ListParagraph"/>
        <w:numPr>
          <w:ilvl w:val="0"/>
          <w:numId w:val="2"/>
        </w:numPr>
        <w:spacing w:after="40" w:before="40"/>
      </w:pPr>
      <w:r>
        <w:rPr>
          <w:rFonts w:ascii="Arial" w:cs="Arial" w:eastAsia="Arial" w:hAnsi="Arial"/>
          <w:sz w:val="22"/>
          <w:szCs w:val="22"/>
        </w:rPr>
        <w:t xml:space="preserve">Pipeline Agent: Writes Python extraction routines for SLED portals; adapts when site layouts change</w:t>
      </w:r>
    </w:p>
    <w:p>
      <w:pPr>
        <w:pStyle w:val="ListParagraph"/>
        <w:numPr>
          <w:ilvl w:val="0"/>
          <w:numId w:val="2"/>
        </w:numPr>
        <w:spacing w:after="40" w:before="40"/>
      </w:pPr>
      <w:r>
        <w:rPr>
          <w:rFonts w:ascii="Arial" w:cs="Arial" w:eastAsia="Arial" w:hAnsi="Arial"/>
          <w:sz w:val="22"/>
          <w:szCs w:val="22"/>
        </w:rPr>
        <w:t xml:space="preserve">Feature Agent: Builds React UI components, API controllers, and client-side state management</w:t>
      </w:r>
    </w:p>
    <w:p>
      <w:pPr>
        <w:pStyle w:val="ListParagraph"/>
        <w:numPr>
          <w:ilvl w:val="0"/>
          <w:numId w:val="2"/>
        </w:numPr>
        <w:spacing w:after="40" w:before="40"/>
      </w:pPr>
      <w:r>
        <w:rPr>
          <w:rFonts w:ascii="Arial" w:cs="Arial" w:eastAsia="Arial" w:hAnsi="Arial"/>
          <w:sz w:val="22"/>
          <w:szCs w:val="22"/>
        </w:rPr>
        <w:t xml:space="preserve">Human Conductor (DFL Senior Engineer): Reviews every commit, manages merge gates, directs the system</w:t>
      </w:r>
    </w:p>
    <w:p>
      <w:pPr>
        <w:spacing w:after="100" w:before="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This model compresses standard 18-month builds to 14–16 weeks. It is not an experiment. It is DFL's production operating model.</w:t>
      </w:r>
    </w:p>
    <w:p>
      <w:r>
        <w:br w:type="page"/>
      </w:r>
    </w:p>
    <w:p>
      <w:pPr>
        <w:pStyle w:val="Heading1"/>
        <w:pBdr>
          <w:bottom w:val="single" w:color="0A2342" w:sz="8"/>
        </w:pBdr>
        <w:spacing w:after="120" w:before="360"/>
      </w:pPr>
      <w:r>
        <w:rPr>
          <w:rFonts w:ascii="Arial" w:cs="Arial" w:eastAsia="Arial" w:hAnsi="Arial"/>
          <w:b/>
          <w:bCs/>
          <w:color w:val="0A2342"/>
          <w:sz w:val="30"/>
          <w:szCs w:val="30"/>
        </w:rPr>
        <w:t xml:space="preserve">5. Go-To-Market Strategy</w:t>
      </w:r>
    </w:p>
    <w:p>
      <w:pPr>
        <w:pStyle w:val="Heading2"/>
        <w:spacing w:after="80" w:before="240"/>
      </w:pPr>
      <w:r>
        <w:rPr>
          <w:rFonts w:ascii="Arial" w:cs="Arial" w:eastAsia="Arial" w:hAnsi="Arial"/>
          <w:b/>
          <w:bCs/>
          <w:color w:val="C8102E"/>
          <w:sz w:val="25"/>
          <w:szCs w:val="25"/>
        </w:rPr>
        <w:t xml:space="preserve">5.1 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Segment</w:t>
            </w:r>
          </w:p>
        </w:tc>
        <w:tc>
          <w:tcPr>
            <w:tcW w:type="dxa" w:w="30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Profile</w:t>
            </w:r>
          </w:p>
        </w:tc>
        <w:tc>
          <w:tcPr>
            <w:tcW w:type="dxa" w:w="21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Pain Threshold</w:t>
            </w:r>
          </w:p>
        </w:tc>
        <w:tc>
          <w:tcPr>
            <w:tcW w:type="dxa" w:w="18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Willingness to Pay</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Primary: SMB GovCon BD Manager</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5–50 person firm, 2–5 active pursuits/quarter, currently using GovTribe Launch or SAM.gov only</w:t>
            </w:r>
          </w:p>
        </w:tc>
        <w:tc>
          <w:tcPr>
            <w:tcW w:type="dxa" w:w="2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High — spending 4–6 hrs/day on manual research</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$150–$250/user/month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Secondary: Mid-Market Capture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50–200 person firm, dedicated BD team, multiple simultaneous pursuits across federal + SLED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Very high — SLED data gaps costing them bids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$300–$400/user/month</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Tertiary: Proposal Writing Firms</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Specialist firms writing proposals for multiple contractor clients — power users of AI analyst</w:t>
            </w:r>
          </w:p>
        </w:tc>
        <w:tc>
          <w:tcPr>
            <w:tcW w:type="dxa" w:w="2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Extreme — time = revenue for them</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$350+/user/month, potential white-label deal</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5.2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760"/>
        <w:gridCol w:w="16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Price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Included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Target</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Scout (Entry)</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$99/user/month</w:t>
            </w:r>
          </w:p>
        </w:tc>
        <w:tc>
          <w:tcPr>
            <w:tcW w:type="dxa" w:w="3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search only, 5 pipeline slots, basic profiles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Sole proprietors, new entrants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$150/user/month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 SLED, unlimited pipeline, AI Analyst, Entity Profiler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SMB BD teams</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Enterprise Capture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$350/user/month</w:t>
            </w:r>
          </w:p>
        </w:tc>
        <w:tc>
          <w:tcPr>
            <w:tcW w:type="dxa" w:w="3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All features + MCP server, API access, priority scraping, SLA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Mid-market + proposal firms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Agency / White-Label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Custom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Full platform licence for resale or white-labelling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Large primes, consultancies</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5.3 Customer Acquisition Strategy</w:t>
      </w:r>
    </w:p>
    <w:p>
      <w:pPr>
        <w:pStyle w:val="ListParagraph"/>
        <w:numPr>
          <w:ilvl w:val="0"/>
          <w:numId w:val="2"/>
        </w:numPr>
        <w:spacing w:after="40" w:before="40"/>
      </w:pPr>
      <w:r>
        <w:rPr>
          <w:rFonts w:ascii="Arial" w:cs="Arial" w:eastAsia="Arial" w:hAnsi="Arial"/>
          <w:b/>
          <w:bCs/>
          <w:sz w:val="22"/>
          <w:szCs w:val="22"/>
        </w:rPr>
        <w:t xml:space="preserve">Channel 1 — </w:t>
      </w:r>
      <w:r>
        <w:rPr>
          <w:rFonts w:ascii="Arial" w:cs="Arial" w:eastAsia="Arial" w:hAnsi="Arial"/>
          <w:sz w:val="22"/>
          <w:szCs w:val="22"/>
        </w:rPr>
        <w:t xml:space="preserve">GovCon Community Infiltration: Active presence in GovCon forums, LinkedIn groups, NCMA chapters, PTAC events — where target buyers congregate</w:t>
      </w:r>
    </w:p>
    <w:p>
      <w:pPr>
        <w:pStyle w:val="ListParagraph"/>
        <w:numPr>
          <w:ilvl w:val="0"/>
          <w:numId w:val="2"/>
        </w:numPr>
        <w:spacing w:after="40" w:before="40"/>
      </w:pPr>
      <w:r>
        <w:rPr>
          <w:rFonts w:ascii="Arial" w:cs="Arial" w:eastAsia="Arial" w:hAnsi="Arial"/>
          <w:b/>
          <w:bCs/>
          <w:sz w:val="22"/>
          <w:szCs w:val="22"/>
        </w:rPr>
        <w:t xml:space="preserve">Channel 2 — </w:t>
      </w:r>
      <w:r>
        <w:rPr>
          <w:rFonts w:ascii="Arial" w:cs="Arial" w:eastAsia="Arial" w:hAnsi="Arial"/>
          <w:sz w:val="22"/>
          <w:szCs w:val="22"/>
        </w:rPr>
        <w:t xml:space="preserve">Content-Led SEO: Publish weekly intelligence briefs (e.g. 'Top 10 SLED Opportunities This Week') — drives organic traffic from contractors already searching for opportunities</w:t>
      </w:r>
    </w:p>
    <w:p>
      <w:pPr>
        <w:pStyle w:val="ListParagraph"/>
        <w:numPr>
          <w:ilvl w:val="0"/>
          <w:numId w:val="2"/>
        </w:numPr>
        <w:spacing w:after="40" w:before="40"/>
      </w:pPr>
      <w:r>
        <w:rPr>
          <w:rFonts w:ascii="Arial" w:cs="Arial" w:eastAsia="Arial" w:hAnsi="Arial"/>
          <w:b/>
          <w:bCs/>
          <w:sz w:val="22"/>
          <w:szCs w:val="22"/>
        </w:rPr>
        <w:t xml:space="preserve">Channel 3 — </w:t>
      </w:r>
      <w:r>
        <w:rPr>
          <w:rFonts w:ascii="Arial" w:cs="Arial" w:eastAsia="Arial" w:hAnsi="Arial"/>
          <w:sz w:val="22"/>
          <w:szCs w:val="22"/>
        </w:rPr>
        <w:t xml:space="preserve">Partner Channel: PTAC offices, SBA resource partners, and GovCon consultancies as referral partners in exchange for commission or co-branded access</w:t>
      </w:r>
    </w:p>
    <w:p>
      <w:pPr>
        <w:pStyle w:val="ListParagraph"/>
        <w:numPr>
          <w:ilvl w:val="0"/>
          <w:numId w:val="2"/>
        </w:numPr>
        <w:spacing w:after="40" w:before="40"/>
      </w:pPr>
      <w:r>
        <w:rPr>
          <w:rFonts w:ascii="Arial" w:cs="Arial" w:eastAsia="Arial" w:hAnsi="Arial"/>
          <w:b/>
          <w:bCs/>
          <w:sz w:val="22"/>
          <w:szCs w:val="22"/>
        </w:rPr>
        <w:t xml:space="preserve">Channel 4 — </w:t>
      </w:r>
      <w:r>
        <w:rPr>
          <w:rFonts w:ascii="Arial" w:cs="Arial" w:eastAsia="Arial" w:hAnsi="Arial"/>
          <w:sz w:val="22"/>
          <w:szCs w:val="22"/>
        </w:rPr>
        <w:t xml:space="preserve">Direct Outbound: Atlas-style BD sequences targeting firms actively bidding on contracts in the prior 12 months — identifiable via FPDS award data</w:t>
      </w:r>
    </w:p>
    <w:p>
      <w:pPr>
        <w:pStyle w:val="ListParagraph"/>
        <w:numPr>
          <w:ilvl w:val="0"/>
          <w:numId w:val="2"/>
        </w:numPr>
        <w:spacing w:after="40" w:before="40"/>
      </w:pPr>
      <w:r>
        <w:rPr>
          <w:rFonts w:ascii="Arial" w:cs="Arial" w:eastAsia="Arial" w:hAnsi="Arial"/>
          <w:b/>
          <w:bCs/>
          <w:sz w:val="22"/>
          <w:szCs w:val="22"/>
        </w:rPr>
        <w:t xml:space="preserve">Channel 5 — </w:t>
      </w:r>
      <w:r>
        <w:rPr>
          <w:rFonts w:ascii="Arial" w:cs="Arial" w:eastAsia="Arial" w:hAnsi="Arial"/>
          <w:sz w:val="22"/>
          <w:szCs w:val="22"/>
        </w:rPr>
        <w:t xml:space="preserve">Freemium Hook: Free tier (Scout) with limited federal data — converts to paid when the user hits SLED data or AI analyst for the first time</w:t>
      </w:r>
    </w:p>
    <w:p>
      <w:r>
        <w:br w:type="page"/>
      </w:r>
    </w:p>
    <w:p>
      <w:pPr>
        <w:pStyle w:val="Heading1"/>
        <w:pBdr>
          <w:bottom w:val="single" w:color="0A2342" w:sz="8"/>
        </w:pBdr>
        <w:spacing w:after="120" w:before="360"/>
      </w:pPr>
      <w:r>
        <w:rPr>
          <w:rFonts w:ascii="Arial" w:cs="Arial" w:eastAsia="Arial" w:hAnsi="Arial"/>
          <w:b/>
          <w:bCs/>
          <w:color w:val="0A2342"/>
          <w:sz w:val="30"/>
          <w:szCs w:val="30"/>
        </w:rPr>
        <w:t xml:space="preserve">6. Financial Model &amp; Projections</w:t>
      </w:r>
    </w:p>
    <w:p>
      <w:pPr>
        <w:pStyle w:val="Heading2"/>
        <w:spacing w:after="80" w:before="240"/>
      </w:pPr>
      <w:r>
        <w:rPr>
          <w:rFonts w:ascii="Arial" w:cs="Arial" w:eastAsia="Arial" w:hAnsi="Arial"/>
          <w:b/>
          <w:bCs/>
          <w:color w:val="C8102E"/>
          <w:sz w:val="25"/>
          <w:szCs w:val="25"/>
        </w:rPr>
        <w:t xml:space="preserve">6.1 Revenue Model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Assumption</w:t>
            </w:r>
          </w:p>
        </w:tc>
        <w:tc>
          <w:tcPr>
            <w:tcW w:type="dxa" w:w="1432"/>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1</w:t>
            </w:r>
          </w:p>
        </w:tc>
        <w:tc>
          <w:tcPr>
            <w:tcW w:type="dxa" w:w="1432"/>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2</w:t>
            </w:r>
          </w:p>
        </w:tc>
        <w:tc>
          <w:tcPr>
            <w:tcW w:type="dxa" w:w="1432"/>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3</w:t>
            </w:r>
          </w:p>
        </w:tc>
        <w:tc>
          <w:tcPr>
            <w:tcW w:type="dxa" w:w="1432"/>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4</w:t>
            </w:r>
          </w:p>
        </w:tc>
        <w:tc>
          <w:tcPr>
            <w:tcW w:type="dxa" w:w="1432"/>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5</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Professional Users</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600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2,000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5,000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10,000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Enterprise Users</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250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600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Avg Professional MRR</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$155</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$160</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$165</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$170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Avg Enterprise MRR</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$350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$360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$370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$380</w:t>
            </w:r>
          </w:p>
        </w:tc>
        <w:tc>
          <w:tcPr>
            <w:tcW w:type="dxa" w:w="14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$390</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Monthly Churn</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3.5%</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2.8%</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2.2%</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1.8%</w:t>
            </w:r>
          </w:p>
        </w:tc>
        <w:tc>
          <w:tcPr>
            <w:tcW w:type="dxa" w:w="1432"/>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1.5%</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6.2 Five-Year P&amp;L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
            </w:r>
          </w:p>
        </w:tc>
        <w:tc>
          <w:tcPr>
            <w:tcW w:type="dxa" w:w="152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1</w:t>
            </w:r>
          </w:p>
        </w:tc>
        <w:tc>
          <w:tcPr>
            <w:tcW w:type="dxa" w:w="152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2</w:t>
            </w:r>
          </w:p>
        </w:tc>
        <w:tc>
          <w:tcPr>
            <w:tcW w:type="dxa" w:w="152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3</w:t>
            </w:r>
          </w:p>
        </w:tc>
        <w:tc>
          <w:tcPr>
            <w:tcW w:type="dxa" w:w="152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4</w:t>
            </w:r>
          </w:p>
        </w:tc>
        <w:tc>
          <w:tcPr>
            <w:tcW w:type="dxa" w:w="152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Year 5</w:t>
            </w:r>
          </w:p>
        </w:tc>
      </w:tr>
      <w:tr>
        <w:trPr>
          <w:tblHeader w:val="false"/>
        </w:trPr>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ARR (Professional)</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$360,000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$1,116,000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$3,840,000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$9,900,000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$20,400,000</w:t>
            </w:r>
          </w:p>
        </w:tc>
      </w:tr>
      <w:tr>
        <w:trPr>
          <w:tblHeader w:val="false"/>
        </w:trP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ARR (Enterprise)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$84,000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$345,600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$1,110,000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$2,736,000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$5,616,000</w:t>
            </w:r>
          </w:p>
        </w:tc>
      </w:tr>
      <w:tr>
        <w:trPr>
          <w:tblHeader w:val="false"/>
        </w:trPr>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Agency / White-Label</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$396,000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$1,058,400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$3,450,000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$8,364,000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$14,284,000</w:t>
            </w:r>
          </w:p>
        </w:tc>
      </w:tr>
      <w:tr>
        <w:trPr>
          <w:tblHeader w:val="false"/>
        </w:trP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Total ARR</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$840,000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$2,520,000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$8,400,000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$21,000,000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$40,300,000</w:t>
            </w:r>
          </w:p>
        </w:tc>
      </w:tr>
      <w:tr>
        <w:trPr>
          <w:tblHeader w:val="false"/>
        </w:trPr>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Gross Margin</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62%</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68%</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72%</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76%</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78%</w:t>
            </w:r>
          </w:p>
        </w:tc>
      </w:tr>
      <w:tr>
        <w:trPr>
          <w:tblHeader w:val="false"/>
        </w:trP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Operating Expenses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$1,800,000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$4,200,000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$8,500,000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$14,600,000</w:t>
            </w:r>
          </w:p>
        </w:tc>
      </w:tr>
      <w:tr>
        <w:trPr>
          <w:tblHeader w:val="false"/>
        </w:trPr>
        <w:tc>
          <w:tcPr>
            <w:tcW w:type="dxa" w:w="1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EBITDA</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($530,000)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($116,000)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$1,968,000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$7,060,000</w:t>
            </w:r>
          </w:p>
        </w:tc>
        <w:tc>
          <w:tcPr>
            <w:tcW w:type="dxa" w:w="15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$21,674,000</w:t>
            </w:r>
          </w:p>
        </w:tc>
      </w:tr>
      <w:tr>
        <w:trPr>
          <w:tblHeader w:val="false"/>
        </w:trP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EBITDA Margin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(63%)</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23%</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34%</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53.8%</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6.3 Capital Requirements &amp; Use of Funds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Item</w:t>
            </w:r>
          </w:p>
        </w:tc>
        <w:tc>
          <w:tcPr>
            <w:tcW w:type="dxa" w:w="2187"/>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Phase 1</w:t>
            </w:r>
          </w:p>
        </w:tc>
        <w:tc>
          <w:tcPr>
            <w:tcW w:type="dxa" w:w="2187"/>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Phase 2</w:t>
            </w:r>
          </w:p>
        </w:tc>
        <w:tc>
          <w:tcPr>
            <w:tcW w:type="dxa" w:w="2187"/>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Total</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DFL Build Fee</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$80,000–$120,000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$120,000–$180,000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$200,000–$300,000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GovTribe API Licence (Phase 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$12,000–$24,000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$12,000–$24,000</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Cloud Infrastructure (AWS/GCP)</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$24,000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$32,000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Scraper Proxy Layer (Bright Data)</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$18,000/yr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$18,000/yr ongoing</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Legal &amp; IP Protection</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Marketing &amp; Acquisition (Yr 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$30,000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$50,000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$80,000</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Working Capital Reserve</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$40,000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$80,000</w:t>
            </w:r>
          </w:p>
        </w:tc>
        <w:tc>
          <w:tcPr>
            <w:tcW w:type="dxa" w:w="2187"/>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Total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~$175,000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~$297,000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~$472,000 (3-yr runway)</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7.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Probability</w:t>
            </w:r>
          </w:p>
        </w:tc>
        <w:tc>
          <w:tcPr>
            <w:tcW w:type="dxa" w:w="120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Impact</w:t>
            </w:r>
          </w:p>
        </w:tc>
        <w:tc>
          <w:tcPr>
            <w:tcW w:type="dxa" w:w="4560"/>
            <w:tcBorders>
              <w:top w:val="single" w:color="CCCCCC" w:sz="1"/>
              <w:left w:val="single" w:color="CCCCCC" w:sz="1"/>
              <w:bottom w:val="single" w:color="CCCCCC" w:sz="1"/>
              <w:right w:val="single" w:color="CCCCCC" w:sz="1"/>
            </w:tcBorders>
            <w:shd w:fill="C8102E"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GovTribe changes API terms (Phase 1)</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High</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Contract API access terms upfront; Phase 2 provides full exit path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SLED scraper maintenance burden (40% eng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DFL retainer covers this; AI Layout Parser reduces brittleness vs CSS selectors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IP blocking by SLED portals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Bright Data proxy rotation + Playwright headless with adaptive fingerprinting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API rate limiting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Token-bucket rate limiter via Redis; SAM.gov API keys negotiated at scale</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Competitor response (GovTribe price cut)</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Price is not sole differentiator; SLED coverage and AI depth are structural advantages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Customer churn (early adopter phase)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Free tier → paid conversion model; annual contracts with quarterly check-ins</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 provider cost escalation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Low</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Low</w:t>
            </w:r>
          </w:p>
        </w:tc>
        <w:tc>
          <w:tcPr>
            <w:tcW w:type="dxa" w:w="4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LLM calls are per-query; cost scales with revenue; multi-provider fallback (Claude/GPT-4o)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Talent / build delivery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DFL agentic model is proven; senior human conductor manages all output quality</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8. Team &amp; Delivery Structure</w:t>
      </w:r>
    </w:p>
    <w:p>
      <w:pPr>
        <w:pStyle w:val="Heading2"/>
        <w:spacing w:after="80" w:before="240"/>
      </w:pPr>
      <w:r>
        <w:rPr>
          <w:rFonts w:ascii="Arial" w:cs="Arial" w:eastAsia="Arial" w:hAnsi="Arial"/>
          <w:b/>
          <w:bCs/>
          <w:color w:val="C8102E"/>
          <w:sz w:val="25"/>
          <w:szCs w:val="25"/>
        </w:rPr>
        <w:t xml:space="preserve">8.1 Digital Fusion Labs — Delivery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Role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Responsibility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DFL Agent / Resource</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Research &amp; Strategy Lead</w:t>
            </w:r>
          </w:p>
        </w:tc>
        <w:tc>
          <w:tcPr>
            <w:tcW w:type="dxa" w:w="3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Client relationship, market thesis, delivery oversight</w:t>
            </w:r>
          </w:p>
        </w:tc>
        <w:tc>
          <w:tcPr>
            <w:tcW w:type="dxa" w:w="3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Boroji Adebayo-Hopewell (Human)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Technical Architecture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System design, infrastructure, security 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DFL Senior Engineer (Human Conductor)</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Schema &amp; Data Agent</w:t>
            </w:r>
          </w:p>
        </w:tc>
        <w:tc>
          <w:tcPr>
            <w:tcW w:type="dxa" w:w="3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Database design, migration scripts, Elasticsearch mappings</w:t>
            </w:r>
          </w:p>
        </w:tc>
        <w:tc>
          <w:tcPr>
            <w:tcW w:type="dxa" w:w="3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Nova (AI — Automation Engineering)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Pipeline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Scrapy, Airflow, Kafka, ETL microservices, OCR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Researcher + Nova (AI)</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Feature Agent</w:t>
            </w:r>
          </w:p>
        </w:tc>
        <w:tc>
          <w:tcPr>
            <w:tcW w:type="dxa" w:w="3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React frontend, NestJS backend, CRM, entity profiler UI</w:t>
            </w:r>
          </w:p>
        </w:tc>
        <w:tc>
          <w:tcPr>
            <w:tcW w:type="dxa" w:w="3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Aether + Nova (AI)</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AI/MCP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LangChain RAG, MCP server, LLM API orchestration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Synthesizer (AI — Knowledge Engine)</w:t>
            </w:r>
          </w:p>
        </w:tc>
      </w:tr>
      <w:tr>
        <w:trPr>
          <w:tblHeader w:val="false"/>
        </w:trPr>
        <w:tc>
          <w:tcPr>
            <w:tcW w:type="dxa" w:w="2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QA &amp; Hardening</w:t>
            </w:r>
          </w:p>
        </w:tc>
        <w:tc>
          <w:tcPr>
            <w:tcW w:type="dxa" w:w="3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End-to-end stress testing, security, performance</w:t>
            </w:r>
          </w:p>
        </w:tc>
        <w:tc>
          <w:tcPr>
            <w:tcW w:type="dxa" w:w="3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Atlas (AI — BD Intelligence)</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8.2 Delivery Milestones — 16-Week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Weeks</w:t>
            </w:r>
          </w:p>
        </w:tc>
        <w:tc>
          <w:tcPr>
            <w:tcW w:type="dxa" w:w="3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Milestone</w:t>
            </w:r>
          </w:p>
        </w:tc>
        <w:tc>
          <w:tcPr>
            <w:tcW w:type="dxa" w:w="47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Deliverable</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w:t>
            </w:r>
          </w:p>
        </w:tc>
        <w:tc>
          <w:tcPr>
            <w:tcW w:type="dxa" w:w="3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Environment &amp; Blueprint</w:t>
            </w:r>
          </w:p>
        </w:tc>
        <w:tc>
          <w:tcPr>
            <w:tcW w:type="dxa" w:w="4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Infrastructure containers, DB schemas, API definitions, GovTribe MCP integration confirmed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Core Ingestion &amp; 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Federal API connections live; Elasticsearch indexed; Universal Search functional</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7–10</w:t>
            </w:r>
          </w:p>
        </w:tc>
        <w:tc>
          <w:tcPr>
            <w:tcW w:type="dxa" w:w="3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Application Core &amp; CRM</w:t>
            </w:r>
          </w:p>
        </w:tc>
        <w:tc>
          <w:tcPr>
            <w:tcW w:type="dxa" w:w="4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React UI, Kanban CRM, user auth (RBAC), Stripe billing, multi-tenant isolation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11–13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AI Core &amp; MCP Server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RAG pipeline, 'Let Me Help' overlay, MCP server exposing data to external agents</w:t>
            </w:r>
          </w:p>
        </w:tc>
      </w:tr>
      <w:tr>
        <w:trPr>
          <w:tblHeader w:val="false"/>
        </w:trPr>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14–16</w:t>
            </w:r>
          </w:p>
        </w:tc>
        <w:tc>
          <w:tcPr>
            <w:tcW w:type="dxa" w:w="3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Hardening &amp; GTM</w:t>
            </w:r>
          </w:p>
        </w:tc>
        <w:tc>
          <w:tcPr>
            <w:tcW w:type="dxa" w:w="4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Stress testing, broken-scraper recovery, beta onboarding, go-live</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9. Engagement Structure &amp; Commercial Terms</w:t>
      </w:r>
    </w:p>
    <w:p>
      <w:pPr>
        <w:pStyle w:val="Heading2"/>
        <w:spacing w:after="80" w:before="240"/>
      </w:pPr>
      <w:r>
        <w:rPr>
          <w:rFonts w:ascii="Arial" w:cs="Arial" w:eastAsia="Arial" w:hAnsi="Arial"/>
          <w:b/>
          <w:bCs/>
          <w:color w:val="C8102E"/>
          <w:sz w:val="25"/>
          <w:szCs w:val="25"/>
        </w:rPr>
        <w:t xml:space="preserve">9.1 Engagement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960"/>
        <w:gridCol w:w="18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Phase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Scope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Timeline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spacing w:after="20" w:before="20"/>
            </w:pPr>
            <w:r>
              <w:rPr>
                <w:rFonts w:ascii="Arial" w:cs="Arial" w:eastAsia="Arial" w:hAnsi="Arial"/>
                <w:b/>
                <w:bCs/>
                <w:color w:val="FFFFFF"/>
                <w:sz w:val="19"/>
                <w:szCs w:val="19"/>
              </w:rPr>
              <w:t xml:space="preserve">Investment</w:t>
            </w:r>
          </w:p>
        </w:tc>
      </w:tr>
      <w:tr>
        <w:trPr>
          <w:tblHeader w:val="false"/>
        </w:trPr>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Scoping Sprint</w:t>
            </w:r>
          </w:p>
        </w:tc>
        <w:tc>
          <w:tcPr>
            <w:tcW w:type="dxa" w:w="3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Architecture validation, feature prioritisation, differentiation mapping, fixed-scope proposal delivery</w:t>
            </w:r>
          </w:p>
        </w:tc>
        <w:tc>
          <w:tcPr>
            <w:tcW w:type="dxa" w:w="1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2 weeks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$5,000–$8,000 (rolls into build fee on proceed)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Phase 1 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Full MVP: Search + CRM + AI Analyst + Entity Profiler + MCP Server — on GovTribe MCP backend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14–16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$80,000–$120,000 fixed</w:t>
            </w:r>
          </w:p>
        </w:tc>
      </w:tr>
      <w:tr>
        <w:trPr>
          <w:tblHeader w:val="false"/>
        </w:trPr>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Phase 2 Build</w:t>
            </w:r>
          </w:p>
        </w:tc>
        <w:tc>
          <w:tcPr>
            <w:tcW w:type="dxa" w:w="3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Sovereign data engine: Scrapy cluster + Kafka + Elasticsearch + Qdrant + SLED portals</w:t>
            </w:r>
          </w:p>
        </w:tc>
        <w:tc>
          <w:tcPr>
            <w:tcW w:type="dxa" w:w="1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12–16 weeks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$120,000–$180,000 fixed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DFL Retainer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Scraper maintenance, AI model updates, feature expansion, strategic advisory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Monthly ongoing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111111"/>
                <w:sz w:val="20"/>
                <w:szCs w:val="20"/>
              </w:rPr>
              <w:t xml:space="preserve">$8,000–$12,000/month</w:t>
            </w:r>
          </w:p>
        </w:tc>
      </w:tr>
    </w:tbl>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9.2 Payment Structure</w:t>
      </w:r>
    </w:p>
    <w:p>
      <w:pPr>
        <w:pStyle w:val="ListParagraph"/>
        <w:numPr>
          <w:ilvl w:val="0"/>
          <w:numId w:val="2"/>
        </w:numPr>
        <w:spacing w:after="40" w:before="40"/>
      </w:pPr>
      <w:r>
        <w:rPr>
          <w:rFonts w:ascii="Arial" w:cs="Arial" w:eastAsia="Arial" w:hAnsi="Arial"/>
          <w:sz w:val="22"/>
          <w:szCs w:val="22"/>
        </w:rPr>
        <w:t xml:space="preserve">Scoping Sprint: 100% upfront on engagement signature</w:t>
      </w:r>
    </w:p>
    <w:p>
      <w:pPr>
        <w:pStyle w:val="ListParagraph"/>
        <w:numPr>
          <w:ilvl w:val="0"/>
          <w:numId w:val="2"/>
        </w:numPr>
        <w:spacing w:after="40" w:before="40"/>
      </w:pPr>
      <w:r>
        <w:rPr>
          <w:rFonts w:ascii="Arial" w:cs="Arial" w:eastAsia="Arial" w:hAnsi="Arial"/>
          <w:sz w:val="22"/>
          <w:szCs w:val="22"/>
        </w:rPr>
        <w:t xml:space="preserve">Phase 1: 40% on contract signature — 40% at Week 8 milestone — 20% on go-live</w:t>
      </w:r>
    </w:p>
    <w:p>
      <w:pPr>
        <w:pStyle w:val="ListParagraph"/>
        <w:numPr>
          <w:ilvl w:val="0"/>
          <w:numId w:val="2"/>
        </w:numPr>
        <w:spacing w:after="40" w:before="40"/>
      </w:pPr>
      <w:r>
        <w:rPr>
          <w:rFonts w:ascii="Arial" w:cs="Arial" w:eastAsia="Arial" w:hAnsi="Arial"/>
          <w:sz w:val="22"/>
          <w:szCs w:val="22"/>
        </w:rPr>
        <w:t xml:space="preserve">Phase 2: 33% on Phase 2 initiation — 33% at Week 8 — 33% on completion</w:t>
      </w:r>
    </w:p>
    <w:p>
      <w:pPr>
        <w:pStyle w:val="ListParagraph"/>
        <w:numPr>
          <w:ilvl w:val="0"/>
          <w:numId w:val="2"/>
        </w:numPr>
        <w:spacing w:after="40" w:before="40"/>
      </w:pPr>
      <w:r>
        <w:rPr>
          <w:rFonts w:ascii="Arial" w:cs="Arial" w:eastAsia="Arial" w:hAnsi="Arial"/>
          <w:sz w:val="22"/>
          <w:szCs w:val="22"/>
        </w:rPr>
        <w:t xml:space="preserve">Retainer: Monthly in advance, 3-month minimum commitment</w:t>
      </w:r>
    </w:p>
    <w:p>
      <w:pPr>
        <w:spacing w:after="10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C8102E"/>
          <w:sz w:val="25"/>
          <w:szCs w:val="25"/>
        </w:rPr>
        <w:t xml:space="preserve">9.3 Intellectual Property</w:t>
      </w:r>
    </w:p>
    <w:p>
      <w:pPr>
        <w:spacing w:after="100" w:before="60"/>
      </w:pPr>
      <w:r>
        <w:rPr>
          <w:rFonts w:ascii="Arial" w:cs="Arial" w:eastAsia="Arial" w:hAnsi="Arial"/>
          <w:sz w:val="22"/>
          <w:szCs w:val="22"/>
        </w:rPr>
        <w:t xml:space="preserve">All code, architecture, data pipelines, and product designs produced during the engagement are the exclusive intellectual property of the client upon final payment. Digital Fusion Labs retains no licence to resell, reproduce, or deploy the specific client implementation. DFL retains ownership of its proprietary Agentic Build Model and generic tooling infrastructure used in delivery.</w:t>
      </w:r>
    </w:p>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4532D" w:val="clear"/>
          </w:tcPr>
          <w:p>
            <w:pPr>
              <w:spacing w:after="100" w:before="60"/>
            </w:pPr>
            <w:r>
              <w:rPr>
                <w:rFonts w:ascii="Arial" w:cs="Arial" w:eastAsia="Arial" w:hAnsi="Arial"/>
                <w:sz w:val="22"/>
                <w:szCs w:val="22"/>
              </w:rPr>
              <w:t xml:space="preserve"/>
            </w:r>
          </w:p>
        </w:tc>
        <w:tc>
          <w:tcPr>
            <w:tcW w:type="dxa" w:w="9060"/>
            <w:tcBorders>
              <w:top w:val="none" w:color="FFFFFF" w:sz="0"/>
              <w:left w:val="none" w:color="FFFFFF" w:sz="0"/>
              <w:bottom w:val="none" w:color="FFFFFF" w:sz="0"/>
              <w:right w:val="none" w:color="FFFFFF" w:sz="0"/>
            </w:tcBorders>
            <w:shd w:fill="EEF3FA" w:val="clear"/>
            <w:tcMar>
              <w:top w:type="dxa" w:w="140"/>
              <w:left w:type="dxa" w:w="200"/>
              <w:bottom w:type="dxa" w:w="140"/>
              <w:right w:type="dxa" w:w="140"/>
            </w:tcMar>
          </w:tcPr>
          <w:p>
            <w:pPr>
              <w:spacing w:after="0" w:before="0"/>
            </w:pPr>
            <w:r>
              <w:rPr>
                <w:rFonts w:ascii="Arial" w:cs="Arial" w:eastAsia="Arial" w:hAnsi="Arial"/>
                <w:i/>
                <w:iCs/>
                <w:sz w:val="21"/>
                <w:szCs w:val="21"/>
              </w:rPr>
              <w:t xml:space="preserve">Digital Fusion Labs' commitment: If Phase 1 is not live and functional within 18 weeks from signed engagement, DFL absorbs additional delivery costs. We do not charge for our failures.</w:t>
            </w:r>
          </w:p>
        </w:tc>
      </w:tr>
    </w:tbl>
    <w:p>
      <w:r>
        <w:br w:type="page"/>
      </w:r>
    </w:p>
    <w:p>
      <w:pPr>
        <w:pStyle w:val="Heading1"/>
        <w:pBdr>
          <w:bottom w:val="single" w:color="0A2342" w:sz="8"/>
        </w:pBdr>
        <w:spacing w:after="120" w:before="360"/>
      </w:pPr>
      <w:r>
        <w:rPr>
          <w:rFonts w:ascii="Arial" w:cs="Arial" w:eastAsia="Arial" w:hAnsi="Arial"/>
          <w:b/>
          <w:bCs/>
          <w:color w:val="0A2342"/>
          <w:sz w:val="30"/>
          <w:szCs w:val="30"/>
        </w:rPr>
        <w:t xml:space="preserve">10. Conclusion &amp; Strategic Recommendation</w:t>
      </w:r>
    </w:p>
    <w:p>
      <w:pPr>
        <w:spacing w:after="100" w:before="60"/>
      </w:pPr>
      <w:r>
        <w:rPr>
          <w:rFonts w:ascii="Arial" w:cs="Arial" w:eastAsia="Arial" w:hAnsi="Arial"/>
          <w:sz w:val="22"/>
          <w:szCs w:val="22"/>
        </w:rPr>
        <w:t xml:space="preserve">OmniCon is not a speculative product. It addresses a documented, $2.2 trillion market with a proven architecture, a validated business model, and a delivery partner whose operating infrastructure is built specifically for this category of build. The sequential Phase 1 → Phase 2 strategy eliminates the primary failure mode of GovCon platform builds — capital exhaustion before first revenue — by delivering a market-validated, paying product in under four months.</w:t>
      </w:r>
    </w:p>
    <w:p>
      <w:pPr>
        <w:spacing w:after="100" w:before="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Digital Fusion Labs brings three assets to this engagement that no conventional development firm can offer: a McKinsey-grade market thesis, an agentic build infrastructure that compresses delivery timelines, and a commitment to fixed-scope accountability. We are not asking for a development budget. We are proposing a strategic partnership in which both parties' incentives are aligned around one outcome — a live, revenue-generating platform.</w:t>
      </w:r>
    </w:p>
    <w:p>
      <w:pPr>
        <w:spacing w:after="100" w:before="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market window is open. GovTribe is distracted by its parent company's media operations. Deltek and Bloomberg are anchored in a legacy price point that alienates the majority of the market. The AI wave is creating demand for tools that do not just surface data — but reason about it. OmniCon is built for exactly this moment.</w:t>
      </w:r>
    </w:p>
    <w:p>
      <w:pPr>
        <w:spacing w:after="100" w:before="0"/>
      </w:pPr>
      <w:r>
        <w:rPr>
          <w:rFonts w:ascii="Arial" w:cs="Arial" w:eastAsia="Arial" w:hAnsi="Arial"/>
          <w:sz w:val="22"/>
          <w:szCs w:val="22"/>
        </w:rPr>
        <w:t xml:space="preserve"/>
      </w:r>
    </w:p>
    <w:p>
      <w:pPr>
        <w:pBdr>
          <w:top w:val="single" w:color="0A2342" w:sz="6"/>
        </w:pBdr>
        <w:spacing w:after="60" w:before="240"/>
        <w:jc w:val="center"/>
      </w:pPr>
      <w:r>
        <w:rPr>
          <w:rFonts w:ascii="Arial" w:cs="Arial" w:eastAsia="Arial" w:hAnsi="Arial"/>
          <w:i/>
          <w:iCs/>
          <w:color w:val="888888"/>
          <w:sz w:val="18"/>
          <w:szCs w:val="18"/>
        </w:rPr>
        <w:t xml:space="preserve">Digital Fusion Labs  ·  Boroji Adebayo-Hopewell  ·  Research &amp; Strategy Lead  ·  June 2026</w:t>
      </w:r>
    </w:p>
    <w:p>
      <w:pPr>
        <w:jc w:val="center"/>
      </w:pPr>
      <w:r>
        <w:rPr>
          <w:rFonts w:ascii="Arial" w:cs="Arial" w:eastAsia="Arial" w:hAnsi="Arial"/>
          <w:b/>
          <w:bCs/>
          <w:color w:val="C8102E"/>
          <w:sz w:val="22"/>
          <w:szCs w:val="22"/>
        </w:rPr>
        <w:t xml:space="preserve">"We don't build software. We build market positions."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4"/>
      </w:pBdr>
      <w:jc w:val="right"/>
    </w:pPr>
    <w:r>
      <w:rPr>
        <w:rFonts w:ascii="Arial" w:cs="Arial" w:eastAsia="Arial" w:hAnsi="Arial"/>
        <w:color w:val="888888"/>
        <w:sz w:val="16"/>
        <w:szCs w:val="16"/>
      </w:rPr>
      <w:t xml:space="preserve">CONFIDENTIAL  |  Digital Fusion Labs  |  OmniCon Business Plan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342"/>
      <w:sz w:val="30"/>
      <w:szCs w:val="30"/>
    </w:rPr>
  </w:style>
  <w:style w:type="paragraph" w:styleId="Heading2">
    <w:name w:val="Heading 2"/>
    <w:basedOn w:val="Normal"/>
    <w:next w:val="Normal"/>
    <w:qFormat/>
    <w:pPr>
      <w:spacing w:after="80" w:before="240"/>
      <w:outlineLvl w:val="1"/>
    </w:pPr>
    <w:rPr>
      <w:rFonts w:ascii="Arial" w:cs="Arial" w:eastAsia="Arial" w:hAnsi="Arial"/>
      <w:b/>
      <w:bCs/>
      <w:color w:val="C8102E"/>
      <w:sz w:val="25"/>
      <w:szCs w:val="25"/>
    </w:rPr>
  </w:style>
  <w:style w:type="paragraph" w:styleId="Heading3">
    <w:name w:val="Heading 3"/>
    <w:basedOn w:val="Normal"/>
    <w:next w:val="Normal"/>
    <w:qFormat/>
    <w:pPr>
      <w:spacing w:after="60" w:before="1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2026-06-02T00:58:20.470Z</dcterms:created>
  <dcterms:modified xsi:type="dcterms:W3CDTF">2026-06-02T00:58:20.471Z</dcterms:modified>
</cp:coreProperties>
</file>

<file path=docProps/custom.xml><?xml version="1.0" encoding="utf-8"?>
<Properties xmlns="http://schemas.openxmlformats.org/officeDocument/2006/custom-properties" xmlns:vt="http://schemas.openxmlformats.org/officeDocument/2006/docPropsVTypes"/>
</file>