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6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EXECUTIVE CLIENT BRIEF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OmniCon — AI-Native Government Contracting Intelligence Platform</w:t>
      </w:r>
    </w:p>
    <w:p>
      <w:pPr>
        <w:pBdr>
          <w:bottom w:val="single" w:color="C9A84C" w:sz="8" w:space="2"/>
        </w:pBdr>
        <w:spacing w:after="120" w:before="120"/>
      </w:pP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Prepared for: [CLIENT NAME]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Prepared by: Digital Fusion Labs  |  Boroji Adebayo-Hopewell, Research &amp; Strategy Lead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Date: June 2025  |  Classification: Confidential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Opportunity</w:t>
            </w:r>
          </w:p>
        </w:tc>
        <w:tc>
          <w:tcPr>
            <w:tcW w:type="dxa" w:w="243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Incumbent Gap</w:t>
            </w:r>
          </w:p>
        </w:tc>
        <w:tc>
          <w:tcPr>
            <w:tcW w:type="dxa" w:w="243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DFL Advantage</w:t>
            </w:r>
          </w:p>
        </w:tc>
        <w:tc>
          <w:tcPr>
            <w:tcW w:type="dxa" w:w="243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 Window</w:t>
            </w:r>
          </w:p>
        </w:tc>
      </w:tr>
      <w:tr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$2.2T addressable (Federal + SLED)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GovTribe UI/AI aging; no agentic workflows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Proprietary AI stack; 16-wk delivery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Q3 2025 launch advantage window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C9A84C" w:sz="6" w:space="4"/>
        </w:pBdr>
        <w:spacing w:after="120" w:before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I. The Opportunity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U.S. government contracting market presents a rare convergence of structural inefficiency and technology-readiness. Federal procurement alone exceeds $700 billion annually; when State, Local &amp; Education (SLED) spend is included, total addressable volume surpasses $2.2 trillion. Yet the dominant intelligence tooling — GovTribe — was architected before large language models, vector search, or agentic orchestration existed.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gap between what government contractors need — real-time opportunity radar, semantic similarity matching, predictive win-rate scoring, automated narrative drafting — and what today's tools deliver is measurable and widening. The contractor that closes this gap first controls a durable, compounding information advantage. OmniCon is built to be that platform.</w:t>
      </w:r>
    </w:p>
    <w:p>
      <w:pPr>
        <w:pStyle w:val="Heading2"/>
        <w:pBdr>
          <w:bottom w:val="single" w:color="C9A84C" w:sz="6" w:space="4"/>
        </w:pBdr>
        <w:spacing w:after="120" w:before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II. What Is OmniCon?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OmniCon is an AI-native intelligence platform that aggregates, enriches, and reasons over the full corpus of government contracting data — solicitations, awards, incumbents, agencies, teaming activity, pricing history — and surfaces it through an intuitive workspace purpose-built for BD and capture teams. Unlike traditional procurement databases, OmniCon does not merely retrieve; it reasons. Users interact through a natural-language interface that understands intent, not keywords.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7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Delivers for You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Opportunity Radar</w:t>
            </w:r>
          </w:p>
        </w:tc>
        <w:tc>
          <w:tcPr>
            <w:tcW w:type="dxa" w:w="6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AI-scanned daily feed of open solicitations matched to your NAICS codes, past performance, and teaming profile — ranked by win probability.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Semantic Search Engine</w:t>
            </w:r>
          </w:p>
        </w:tc>
        <w:tc>
          <w:tcPr>
            <w:tcW w:type="dxa" w:w="6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Ask in plain English: "Show me all DoD IT modernisation awards above $50M in the last 18 months" and receive precise, cited results.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Competitive Intelligence</w:t>
            </w:r>
          </w:p>
        </w:tc>
        <w:tc>
          <w:tcPr>
            <w:tcW w:type="dxa" w:w="6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 incumbent contractors, award histories, subcontractor networks, and pricing benchmarks by agency, vehicle, and NAICS cluster.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Predictive Win Scoring</w:t>
            </w:r>
          </w:p>
        </w:tc>
        <w:tc>
          <w:tcPr>
            <w:tcW w:type="dxa" w:w="6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ML model trained on 10+ years of award data scores each opportunity on fit, competition density, price-to-win corridor, and agency relationship signals.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Automated Narrative Drafting</w:t>
            </w:r>
          </w:p>
        </w:tc>
        <w:tc>
          <w:tcPr>
            <w:tcW w:type="dxa" w:w="6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first-draft capability statements, executive summaries, and past-performance write-ups grounded in your actual award history.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C9A84C" w:sz="6" w:space="4"/>
        </w:pBdr>
        <w:spacing w:after="120" w:before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III. Delivery Strategy — Two Paths to Market</w:t>
      </w:r>
    </w:p>
    <w:p>
      <w:pPr>
        <w:spacing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 Fusion Labs has designed two proven delivery architectures, allowing your organisation to choose based on commercial priority: speed-to-market or long-term data sovereignty.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96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A — MCP Hybrid (Recommended)</w:t>
            </w:r>
          </w:p>
        </w:tc>
        <w:tc>
          <w:tcPr>
            <w:tcW w:type="dxa" w:w="3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B — Sovereign Engine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Philosophy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Layer AI intelligence on GovTribe's live data via MCP protocol; own the UX and reasoning layer.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proprietary ingest stack (Scrapy, Kafka, Elasticsearch, Qdrant); zero third-party dependency.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Timeline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14–16 weeks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12–16 weeks (parallel pipeline)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Investment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$80,000 – $120,000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$120,000 – $180,000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Primary Risk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GovTribe API dependency; mitigated by contract-level SLA provisions.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Higher upfront; fully eliminated by Month 6 of steady-state ops.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Strategic Fit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Ideal for rapid commercialisation and Series A / revenue milestones.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Ideal for defensible moat, proprietary data asset, and enterprise licensing.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C9A84C" w:sz="6" w:space="4"/>
        </w:pBdr>
        <w:spacing w:after="120" w:before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IV. Why Digital Fusion Labs?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DFL is a technology strategy and engineering firm specialising in AI-native product development for data-intensive industries. Our delivery model is built on principles directly relevant to OmniCon: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Velocity without sacrifice: Our structured 16-week programme covers architecture, data pipeline, AI core, and production deployment — without the scope drift that inflates most enterprise AI projects.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Proven AI architecture: We have delivered production-grade retrieval-augmented generation (RAG) systems, multi-agent orchestration layers, and real-time streaming pipelines on engagements of comparable complexity.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Transparent governance: Every phase closes with a working demo, documented architecture decisions, and client-owned IP. You are never dependent on DFL to operate what we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Security-first engineering: Zero secrets in code, environment-variable credential management, and SOC-2-compatible data handling from day one.</w:t>
      </w:r>
    </w:p>
    <w:p>
      <w:pPr>
        <w:spacing w:after="120"/>
      </w:pPr>
    </w:p>
    <w:p>
      <w:pPr>
        <w:pStyle w:val="Heading2"/>
        <w:pBdr>
          <w:bottom w:val="single" w:color="C9A84C" w:sz="6" w:space="4"/>
        </w:pBdr>
        <w:spacing w:after="120" w:before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V. Financial Snapshot</w:t>
      </w:r>
    </w:p>
    <w:p>
      <w:pPr>
        <w:spacing w:after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projections represent a conservative base-case model. Revenue is driven by a B2B SaaS subscription model with three tiers: Starter ($299/mo), Professional ($999/mo), and Enterprise (custom). GovCon integrators and Federal IT prime contractors represent the primary enterprise segment.</w:t>
      </w:r>
    </w:p>
    <w:p>
      <w:pPr>
        <w:spacing w:after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24"/>
        <w:gridCol w:w="1524"/>
        <w:gridCol w:w="1524"/>
        <w:gridCol w:w="1524"/>
        <w:gridCol w:w="1524"/>
      </w:tblGrid>
      <w:tr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24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1524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1524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  <w:tc>
          <w:tcPr>
            <w:tcW w:type="dxa" w:w="1524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4</w:t>
            </w:r>
          </w:p>
        </w:tc>
        <w:tc>
          <w:tcPr>
            <w:tcW w:type="dxa" w:w="1524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5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ARR</w:t>
            </w:r>
          </w:p>
        </w:tc>
        <w:tc>
          <w:tcPr>
            <w:tcW w:type="dxa" w:w="15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$840K</w:t>
            </w:r>
          </w:p>
        </w:tc>
        <w:tc>
          <w:tcPr>
            <w:tcW w:type="dxa" w:w="15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$2.8M</w:t>
            </w:r>
          </w:p>
        </w:tc>
        <w:tc>
          <w:tcPr>
            <w:tcW w:type="dxa" w:w="15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$7.2M</w:t>
            </w:r>
          </w:p>
        </w:tc>
        <w:tc>
          <w:tcPr>
            <w:tcW w:type="dxa" w:w="15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$16.4M</w:t>
            </w:r>
          </w:p>
        </w:tc>
        <w:tc>
          <w:tcPr>
            <w:tcW w:type="dxa" w:w="15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$40.3M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Paying Accounts</w:t>
            </w:r>
          </w:p>
        </w:tc>
        <w:tc>
          <w:tcPr>
            <w:tcW w:type="dxa" w:w="15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120</w:t>
            </w:r>
          </w:p>
        </w:tc>
        <w:tc>
          <w:tcPr>
            <w:tcW w:type="dxa" w:w="15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360</w:t>
            </w:r>
          </w:p>
        </w:tc>
        <w:tc>
          <w:tcPr>
            <w:tcW w:type="dxa" w:w="15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720</w:t>
            </w:r>
          </w:p>
        </w:tc>
        <w:tc>
          <w:tcPr>
            <w:tcW w:type="dxa" w:w="15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1,440</w:t>
            </w:r>
          </w:p>
        </w:tc>
        <w:tc>
          <w:tcPr>
            <w:tcW w:type="dxa" w:w="15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3,200+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15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62%</w:t>
            </w:r>
          </w:p>
        </w:tc>
        <w:tc>
          <w:tcPr>
            <w:tcW w:type="dxa" w:w="15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68%</w:t>
            </w:r>
          </w:p>
        </w:tc>
        <w:tc>
          <w:tcPr>
            <w:tcW w:type="dxa" w:w="15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72%</w:t>
            </w:r>
          </w:p>
        </w:tc>
        <w:tc>
          <w:tcPr>
            <w:tcW w:type="dxa" w:w="15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76%</w:t>
            </w:r>
          </w:p>
        </w:tc>
        <w:tc>
          <w:tcPr>
            <w:tcW w:type="dxa" w:w="15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79%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EBITDA</w:t>
            </w:r>
          </w:p>
        </w:tc>
        <w:tc>
          <w:tcPr>
            <w:tcW w:type="dxa" w:w="15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-$1.1M</w:t>
            </w:r>
          </w:p>
        </w:tc>
        <w:tc>
          <w:tcPr>
            <w:tcW w:type="dxa" w:w="15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-$0.4M</w:t>
            </w:r>
          </w:p>
        </w:tc>
        <w:tc>
          <w:tcPr>
            <w:tcW w:type="dxa" w:w="15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$0.9M</w:t>
            </w:r>
          </w:p>
        </w:tc>
        <w:tc>
          <w:tcPr>
            <w:tcW w:type="dxa" w:w="15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$5.2M</w:t>
            </w:r>
          </w:p>
        </w:tc>
        <w:tc>
          <w:tcPr>
            <w:tcW w:type="dxa" w:w="15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$21.7M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Comparable SaaS businesses in government data intelligence (e.g., Bloomberg Government, Deltek) trade at 8-12x ARR at maturity. Year 5 ARR of $40M implies an enterprise value of $320M-$480M at prevailing multiples.</w:t>
      </w:r>
    </w:p>
    <w:p>
      <w:r>
        <w:br w:type="page"/>
      </w:r>
    </w:p>
    <w:p>
      <w:pPr>
        <w:pStyle w:val="Heading2"/>
        <w:pBdr>
          <w:bottom w:val="single" w:color="C9A84C" w:sz="6" w:space="4"/>
        </w:pBdr>
        <w:spacing w:after="120" w:before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VI. Engagement Milestones — Path A (Recommended)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3240"/>
        <w:gridCol w:w="2880"/>
      </w:tblGrid>
      <w:tr>
        <w:tc>
          <w:tcPr>
            <w:tcW w:type="dxa" w:w="14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2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Criteria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 — Discovery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Requirements, data source audit, architecture blueprint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Signed SOW + architecture sign-off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 — Foundation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3–6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 integration, data normalisation pipeline, auth layer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data flowing to dev environment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 — AI Core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7–11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RAG engine, semantic search, win-scoring model, narrative generator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Internal accuracy benchmark passed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 — Product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12–14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workspace UI, user onboarding, admin controls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Beta user cohort onboarded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 — Launch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15–16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 deployment, monitoring, go-live support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live; first paying customer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C9A84C" w:sz="6" w:space="4"/>
        </w:pBdr>
        <w:spacing w:after="120" w:before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VII. Risk Landscape &amp; Mitigation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5220"/>
      </w:tblGrid>
      <w:tr>
        <w:tc>
          <w:tcPr>
            <w:tcW w:type="dxa" w:w="2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2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GovTribe API deprecation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Parallel proprietary scraping layer ready to activate; contract clause requiring 90-day API deprecation notice.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model accuracy drift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Low-Medium</w:t>
            </w:r>
          </w:p>
        </w:tc>
        <w:tc>
          <w:tcPr>
            <w:tcW w:type="dxa" w:w="5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Continuous evaluation pipeline with human-in-the-loop review on win-score calibration quarterly.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FedRAMP / compliance gap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5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 is FedRAMP-aligned from day one; formal ATO pursuit in Year 2.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Incumbent response (GovTribe)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5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GovTribe has not shipped a materially new AI capability in 24+ months; speed-to-market gap is our moat.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C9A84C" w:sz="6" w:space="4"/>
        </w:pBdr>
        <w:spacing w:after="120" w:before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VIII. The Ask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 Fusion Labs requests your authorisation to proceed with Phase 0 — Discovery. The Discovery phase produces the binding SOW, architecture blueprint, and technical risk register that govern the full engagement.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Discovery investment: $12,000 — credited against Phase 1 contract upon engagement confirmation.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initiate, we require: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Executed Letter of Intent (LOI) or verbal go-ahead from your decision-making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Access credentials for your GovTribe account (if applicable) for API scope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Two-hour kickoff session with your BD leadership and technical lead</w:t>
      </w:r>
    </w:p>
    <w:p>
      <w:pPr>
        <w:spacing w:after="160"/>
      </w:pPr>
    </w:p>
    <w:p>
      <w:pPr>
        <w:pBdr>
          <w:bottom w:val="single" w:color="C9A84C" w:sz="8" w:space="2"/>
        </w:pBdr>
        <w:spacing w:after="120" w:before="120"/>
      </w:pPr>
    </w:p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Digital Fusion Labs — Building the Intelligence Layer of Government Commerce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Contact: Boroji Adebayo-Hopewell, Research &amp; Strategy Lead</w:t>
      </w:r>
    </w:p>
    <w:p>
      <w:pPr>
        <w:spacing w:after="40"/>
        <w:jc w:val="center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info@digifusionlabs.com  |  www.digifusionlabs.com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7"/>
        <w:szCs w:val="17"/>
      </w:rPr>
      <w:t xml:space="preserve">© 2025 Digital Fusion Labs  |  Proprietary &amp; Confidential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color w:val="888888"/>
        <w:sz w:val="17"/>
        <w:szCs w:val="17"/>
      </w:rPr>
      <w:t xml:space="preserve">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OmniCon — Executive Client Brief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CONFIDENTIAL  |  Digital Fusion Labs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60"/>
      </w:pPr>
      <w:rPr>
        <w:rFonts w:ascii="Arial" w:cs="Arial" w:eastAsia="Arial" w:hAnsi="Arial"/>
        <w:color w:val="C9A84C"/>
      </w:rPr>
    </w:lvl>
    <w:lvl w:ilvl="1" w15:tentative="1">
      <w:start w:val="1"/>
      <w:numFmt w:val="bullet"/>
      <w:lvlText w:val="–"/>
      <w:lvlJc w:val="left"/>
      <w:pPr>
        <w:ind w:left="900" w:hanging="360"/>
      </w:pPr>
      <w:rPr>
        <w:rFonts w:ascii="Arial" w:cs="Arial" w:eastAsia="Arial" w:hAnsi="Arial"/>
        <w:color w:val="66666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2026-06-02T01:17:45.639Z</dcterms:created>
  <dcterms:modified xsi:type="dcterms:W3CDTF">2026-06-02T01:17:45.644Z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