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B3A6B"/>
          <w:sz w:val="48"/>
          <w:szCs w:val="48"/>
        </w:rPr>
        <w:t xml:space="preserve">PRODUCT REQUIREMENTS DOCUMENT</w:t>
      </w:r>
    </w:p>
    <w:p>
      <w:pPr>
        <w:spacing w:after="60"/>
        <w:jc w:val="center"/>
      </w:pPr>
      <w:r>
        <w:rPr>
          <w:rFonts w:ascii="Arial" w:cs="Arial" w:eastAsia="Arial" w:hAnsi="Arial"/>
          <w:i/>
          <w:iCs/>
          <w:color w:val="444444"/>
          <w:sz w:val="26"/>
          <w:szCs w:val="26"/>
        </w:rPr>
        <w:t xml:space="preserve">OmniCon — AI-Native Government Contracting Intelligence Platform</w:t>
      </w:r>
    </w:p>
    <w:p>
      <w:pPr>
        <w:pBdr>
          <w:bottom w:val="single" w:color="C9A84C" w:sz="6" w:space="2"/>
        </w:pBdr>
        <w:spacing w:after="100" w:before="1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Document</w:t>
            </w:r>
          </w:p>
        </w:tc>
        <w:tc>
          <w:tcPr>
            <w:tcW w:type="dxa" w:w="243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Version</w:t>
            </w:r>
          </w:p>
        </w:tc>
        <w:tc>
          <w:tcPr>
            <w:tcW w:type="dxa" w:w="243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Status</w:t>
            </w:r>
          </w:p>
        </w:tc>
        <w:tc>
          <w:tcPr>
            <w:tcW w:type="dxa" w:w="243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Date</w:t>
            </w:r>
          </w:p>
        </w:tc>
      </w:tr>
      <w:tr>
        <w:tc>
          <w:tcPr>
            <w:tcW w:type="dxa" w:w="243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OmniCon PRD</w:t>
            </w:r>
          </w:p>
        </w:tc>
        <w:tc>
          <w:tcPr>
            <w:tcW w:type="dxa" w:w="243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243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Draft — Internal Review</w:t>
            </w:r>
          </w:p>
        </w:tc>
        <w:tc>
          <w:tcPr>
            <w:tcW w:type="dxa" w:w="243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June 2025</w:t>
            </w:r>
          </w:p>
        </w:tc>
      </w:tr>
    </w:tbl>
    <w:p>
      <w:pPr>
        <w:spacing w:after="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Author</w:t>
            </w:r>
          </w:p>
        </w:tc>
        <w:tc>
          <w:tcPr>
            <w:tcW w:type="dxa" w:w="32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Organisation</w:t>
            </w:r>
          </w:p>
        </w:tc>
        <w:tc>
          <w:tcPr>
            <w:tcW w:type="dxa" w:w="32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Classification</w:t>
            </w:r>
          </w:p>
        </w:tc>
      </w:tr>
      <w:tr>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Boroji Adebayo-Hopewell</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Digital Fusion Labs</w:t>
            </w:r>
          </w:p>
        </w:tc>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Confidential</w:t>
            </w:r>
          </w:p>
        </w:tc>
      </w:tr>
    </w:tbl>
    <w:p>
      <w:pPr>
        <w:spacing w:after="200"/>
      </w:pPr>
    </w:p>
    <w:p>
      <w:pPr>
        <w:pStyle w:val="Heading2"/>
        <w:pBdr>
          <w:bottom w:val="single" w:color="C9A84C" w:sz="6" w:space="4"/>
        </w:pBdr>
        <w:spacing w:after="120" w:before="240"/>
      </w:pPr>
      <w:r>
        <w:rPr>
          <w:rFonts w:ascii="Arial" w:cs="Arial" w:eastAsia="Arial" w:hAnsi="Arial"/>
          <w:b/>
          <w:bCs/>
          <w:color w:val="1B3A6B"/>
          <w:sz w:val="28"/>
          <w:szCs w:val="28"/>
        </w:rPr>
        <w:t xml:space="preserve">1. Document Purpose &amp; Scope</w:t>
      </w:r>
    </w:p>
    <w:p>
      <w:pPr>
        <w:spacing w:after="100"/>
        <w:jc w:val="both"/>
      </w:pPr>
      <w:r>
        <w:rPr>
          <w:rFonts w:ascii="Arial" w:cs="Arial" w:eastAsia="Arial" w:hAnsi="Arial"/>
          <w:color w:val="333333"/>
          <w:sz w:val="22"/>
          <w:szCs w:val="22"/>
        </w:rPr>
        <w:t xml:space="preserve">This Product Requirements Document (PRD) defines the complete specification for OmniCon, an AI-native government contracting intelligence platform developed by Digital Fusion Labs (DFL). It serves as the authoritative reference for all engineering, design, and quality assurance activities across the OmniCon programme.</w:t>
      </w:r>
    </w:p>
    <w:p>
      <w:pPr>
        <w:spacing w:after="100"/>
        <w:jc w:val="both"/>
      </w:pPr>
      <w:r>
        <w:rPr>
          <w:rFonts w:ascii="Arial" w:cs="Arial" w:eastAsia="Arial" w:hAnsi="Arial"/>
          <w:color w:val="333333"/>
          <w:sz w:val="22"/>
          <w:szCs w:val="22"/>
        </w:rPr>
        <w:t xml:space="preserve">This document covers: product vision and objectives, user personas and use cases, functional requirements decomposed by module, non-functional requirements (performance, security, scalability), data architecture requirements, API and integration specifications, acceptance criteria, and a phased delivery roadmap.</w:t>
      </w:r>
    </w:p>
    <w:p>
      <w:pPr>
        <w:spacing w:after="100"/>
        <w:jc w:val="both"/>
      </w:pPr>
      <w:r>
        <w:rPr>
          <w:rFonts w:ascii="Arial" w:cs="Arial" w:eastAsia="Arial" w:hAnsi="Arial"/>
          <w:color w:val="333333"/>
          <w:sz w:val="22"/>
          <w:szCs w:val="22"/>
        </w:rPr>
        <w:t xml:space="preserve">Out of scope: internal DFL tooling, client-specific customisations beyond what is defined here, and any features planned beyond Version 1.0.</w:t>
      </w:r>
    </w:p>
    <w:p>
      <w:pPr>
        <w:pStyle w:val="Heading2"/>
        <w:pBdr>
          <w:bottom w:val="single" w:color="C9A84C" w:sz="6" w:space="4"/>
        </w:pBdr>
        <w:spacing w:after="120" w:before="240"/>
      </w:pPr>
      <w:r>
        <w:rPr>
          <w:rFonts w:ascii="Arial" w:cs="Arial" w:eastAsia="Arial" w:hAnsi="Arial"/>
          <w:b/>
          <w:bCs/>
          <w:color w:val="1B3A6B"/>
          <w:sz w:val="28"/>
          <w:szCs w:val="28"/>
        </w:rPr>
        <w:t xml:space="preserve">2. Product Vision &amp; Strategic Objectives</w:t>
      </w:r>
    </w:p>
    <w:p>
      <w:pPr>
        <w:spacing w:after="100"/>
        <w:jc w:val="both"/>
      </w:pPr>
      <w:r>
        <w:rPr>
          <w:rFonts w:ascii="Arial" w:cs="Arial" w:eastAsia="Arial" w:hAnsi="Arial"/>
          <w:color w:val="333333"/>
          <w:sz w:val="22"/>
          <w:szCs w:val="22"/>
        </w:rPr>
        <w:t xml:space="preserve">OmniCon transforms how government contractors identify, evaluate, and pursue contracting opportunities. By applying large language model reasoning, semantic vector search, and predictive machine learning over a unified corpus of procurement data, OmniCon compresses weeks of BD research into minutes — and surfaces insights that legacy keyword-search tools cannot produce.</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Strategic Objective</w:t>
            </w:r>
          </w:p>
        </w:tc>
        <w:tc>
          <w:tcPr>
            <w:tcW w:type="dxa" w:w="648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Success Metric (Year 1)</w:t>
            </w:r>
          </w:p>
        </w:tc>
      </w:tr>
      <w:tr>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Reduce opportunity discovery time</w:t>
            </w:r>
          </w:p>
        </w:tc>
        <w:tc>
          <w:tcPr>
            <w:tcW w:type="dxa" w:w="6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From avg. 4 hrs/week to &lt; 30 minutes/week per BD analyst</w:t>
            </w:r>
          </w:p>
        </w:tc>
      </w:tr>
      <w:tr>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Improve bid-no-bid decision accuracy</w:t>
            </w:r>
          </w:p>
        </w:tc>
        <w:tc>
          <w:tcPr>
            <w:tcW w:type="dxa" w:w="6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Win-score model achieves &gt;72% correlation with actual award outcomes on validation set</w:t>
            </w:r>
          </w:p>
        </w:tc>
      </w:tr>
      <w:tr>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Enable agentic narrative drafting</w:t>
            </w:r>
          </w:p>
        </w:tc>
        <w:tc>
          <w:tcPr>
            <w:tcW w:type="dxa" w:w="6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80%+ of generated first drafts accepted with minor edits by users in beta cohort</w:t>
            </w:r>
          </w:p>
        </w:tc>
      </w:tr>
      <w:tr>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Achieve platform stickiness</w:t>
            </w:r>
          </w:p>
        </w:tc>
        <w:tc>
          <w:tcPr>
            <w:tcW w:type="dxa" w:w="6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active user retention &gt; 75% at Month 6; NPS &gt; 50</w:t>
            </w:r>
          </w:p>
        </w:tc>
      </w:tr>
      <w:tr>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Launch commercially</w:t>
            </w:r>
          </w:p>
        </w:tc>
        <w:tc>
          <w:tcPr>
            <w:tcW w:type="dxa" w:w="6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120 paying accounts and $840K ARR by end of Year 1</w:t>
            </w:r>
          </w:p>
        </w:tc>
      </w:tr>
    </w:tbl>
    <w:p>
      <w:pPr>
        <w:spacing w:after="120"/>
      </w:pPr>
    </w:p>
    <w:p>
      <w:pPr>
        <w:pStyle w:val="Heading2"/>
        <w:pBdr>
          <w:bottom w:val="single" w:color="C9A84C" w:sz="6" w:space="4"/>
        </w:pBdr>
        <w:spacing w:after="120" w:before="240"/>
      </w:pPr>
      <w:r>
        <w:rPr>
          <w:rFonts w:ascii="Arial" w:cs="Arial" w:eastAsia="Arial" w:hAnsi="Arial"/>
          <w:b/>
          <w:bCs/>
          <w:color w:val="1B3A6B"/>
          <w:sz w:val="28"/>
          <w:szCs w:val="28"/>
        </w:rPr>
        <w:t xml:space="preserve">3. User Personas</w:t>
      </w:r>
    </w:p>
    <w:p>
      <w:pPr>
        <w:spacing w:after="100"/>
        <w:jc w:val="both"/>
      </w:pPr>
      <w:r>
        <w:rPr>
          <w:rFonts w:ascii="Arial" w:cs="Arial" w:eastAsia="Arial" w:hAnsi="Arial"/>
          <w:color w:val="333333"/>
          <w:sz w:val="22"/>
          <w:szCs w:val="22"/>
        </w:rPr>
        <w:t xml:space="preserve">OmniCon serves three primary user personas with distinct workflows and success criteria:</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3720"/>
        <w:gridCol w:w="400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Persona</w:t>
            </w:r>
          </w:p>
        </w:tc>
        <w:tc>
          <w:tcPr>
            <w:tcW w:type="dxa" w:w="37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Role &amp; Context</w:t>
            </w:r>
          </w:p>
        </w:tc>
        <w:tc>
          <w:tcPr>
            <w:tcW w:type="dxa" w:w="4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Primary Jobs to Be Done</w:t>
            </w:r>
          </w:p>
        </w:tc>
      </w:tr>
      <w:tr>
        <w:tc>
          <w:tcPr>
            <w:tcW w:type="dxa" w:w="20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bCs/>
                <w:color w:val="333333"/>
                <w:sz w:val="20"/>
                <w:szCs w:val="20"/>
              </w:rPr>
              <w:t xml:space="preserve">BD Analyst</w:t>
            </w:r>
          </w:p>
        </w:tc>
        <w:tc>
          <w:tcPr>
            <w:tcW w:type="dxa" w:w="37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Junior-to-mid analyst at a GovCon firm. Spends 4-6 hrs/week researching SAM.gov, USASpending, and GovTribe manually.</w:t>
            </w:r>
          </w:p>
        </w:tc>
        <w:tc>
          <w:tcPr>
            <w:tcW w:type="dxa" w:w="40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Find relevant open solicitations; build pipeline of qualified opportunities; prepare bid/no-bid summaries for leadership.</w:t>
            </w:r>
          </w:p>
        </w:tc>
      </w:tr>
      <w:tr>
        <w:tc>
          <w:tcPr>
            <w:tcW w:type="dxa" w:w="20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bCs/>
                <w:color w:val="333333"/>
                <w:sz w:val="20"/>
                <w:szCs w:val="20"/>
              </w:rPr>
              <w:t xml:space="preserve">Capture Manager</w:t>
            </w:r>
          </w:p>
        </w:tc>
        <w:tc>
          <w:tcPr>
            <w:tcW w:type="dxa" w:w="3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Senior strategist responsible for win strategy. Needs competitive intel, incumbent mapping, and pricing benchmarks for specific vehicles.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Understand competitive landscape; identify teaming partners; assess price-to-win corridor; track opportunity from identification to award.</w:t>
            </w:r>
          </w:p>
        </w:tc>
      </w:tr>
      <w:tr>
        <w:tc>
          <w:tcPr>
            <w:tcW w:type="dxa" w:w="20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bCs/>
                <w:color w:val="333333"/>
                <w:sz w:val="20"/>
                <w:szCs w:val="20"/>
              </w:rPr>
              <w:t xml:space="preserve">BD Director / VP</w:t>
            </w:r>
          </w:p>
        </w:tc>
        <w:tc>
          <w:tcPr>
            <w:tcW w:type="dxa" w:w="37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Decision-maker reviewing pipeline health, resource allocation, and pipeline conversion rates.</w:t>
            </w:r>
          </w:p>
        </w:tc>
        <w:tc>
          <w:tcPr>
            <w:tcW w:type="dxa" w:w="40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pipeline KPIs; approve bid decisions; assess win rates by agency/NAICS; export board-ready pipeline reports.</w:t>
            </w:r>
          </w:p>
        </w:tc>
      </w:tr>
    </w:tbl>
    <w:p>
      <w:pPr>
        <w:spacing w:after="120"/>
      </w:pPr>
    </w:p>
    <w:p>
      <w:pPr>
        <w:pStyle w:val="Heading2"/>
        <w:pBdr>
          <w:bottom w:val="single" w:color="C9A84C" w:sz="6" w:space="4"/>
        </w:pBdr>
        <w:spacing w:after="120" w:before="240"/>
      </w:pPr>
      <w:r>
        <w:rPr>
          <w:rFonts w:ascii="Arial" w:cs="Arial" w:eastAsia="Arial" w:hAnsi="Arial"/>
          <w:b/>
          <w:bCs/>
          <w:color w:val="1B3A6B"/>
          <w:sz w:val="28"/>
          <w:szCs w:val="28"/>
        </w:rPr>
        <w:t xml:space="preserve">4. Functional Requirements</w:t>
      </w:r>
    </w:p>
    <w:p>
      <w:pPr>
        <w:spacing w:after="100"/>
        <w:jc w:val="both"/>
      </w:pPr>
      <w:r>
        <w:rPr>
          <w:rFonts w:ascii="Arial" w:cs="Arial" w:eastAsia="Arial" w:hAnsi="Arial"/>
          <w:color w:val="333333"/>
          <w:sz w:val="22"/>
          <w:szCs w:val="22"/>
        </w:rPr>
        <w:t xml:space="preserve">Functional requirements are organised by module. Each module maps to a discrete engineering workstream. Priority ratings: P0 = Must-have (launch blocker), P1 = High (launch target), P2 = Post-launch iteration.</w:t>
      </w:r>
    </w:p>
    <w:p>
      <w:pPr>
        <w:pStyle w:val="Heading3"/>
        <w:spacing w:after="80" w:before="160"/>
      </w:pPr>
      <w:r>
        <w:rPr>
          <w:rFonts w:ascii="Arial" w:cs="Arial" w:eastAsia="Arial" w:hAnsi="Arial"/>
          <w:b/>
          <w:bCs/>
          <w:color w:val="333333"/>
          <w:sz w:val="24"/>
          <w:szCs w:val="24"/>
        </w:rPr>
        <w:t xml:space="preserve">4.1 Opportunity Radar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5520"/>
        <w:gridCol w:w="1800"/>
        <w:gridCol w:w="1800"/>
      </w:tblGrid>
      <w:tr>
        <w:tc>
          <w:tcPr>
            <w:tcW w:type="dxa" w:w="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ID</w:t>
            </w:r>
          </w:p>
        </w:tc>
        <w:tc>
          <w:tcPr>
            <w:tcW w:type="dxa" w:w="55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Requirement</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Priority</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Acceptance Criteria</w:t>
            </w:r>
          </w:p>
        </w:tc>
      </w:tr>
      <w:tr>
        <w:tc>
          <w:tcPr>
            <w:tcW w:type="dxa" w:w="6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OR-01</w:t>
            </w:r>
          </w:p>
        </w:tc>
        <w:tc>
          <w:tcPr>
            <w:tcW w:type="dxa" w:w="55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shall ingest solicitation data from SAM.gov, USASpending.gov, and GovTribe (via MCP or direct API) on a daily refresh cycle — no more than 24-hour data lag.</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P0</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Daily job completes; &lt; 0.1% record drop rate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OR-02</w:t>
            </w:r>
          </w:p>
        </w:tc>
        <w:tc>
          <w:tcPr>
            <w:tcW w:type="dxa" w:w="5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shall match incoming solicitations to a user's profile (NAICS codes, keywords, agency preferences, past-performance corpus) and produce a ranked opportunity feed.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Matching precision &gt; 80% on labelled test set</w:t>
            </w:r>
          </w:p>
        </w:tc>
      </w:tr>
      <w:tr>
        <w:tc>
          <w:tcPr>
            <w:tcW w:type="dxa" w:w="6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OR-03</w:t>
            </w:r>
          </w:p>
        </w:tc>
        <w:tc>
          <w:tcPr>
            <w:tcW w:type="dxa" w:w="55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Users shall be able to set alert thresholds (e.g., only show opportunities &gt; $1M, only DoD agencies) and receive daily digest notifications.</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P1</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Alerts delivered within 1 hour of daily ingest completion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OR-04</w:t>
            </w:r>
          </w:p>
        </w:tc>
        <w:tc>
          <w:tcPr>
            <w:tcW w:type="dxa" w:w="5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Each opportunity card shall display: title, agency, NAICS, set-aside type, due date, estimated value, incumbent (if known), and AI-assigned win-probability score.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six fields populated for &gt;95% of records</w:t>
            </w:r>
          </w:p>
        </w:tc>
      </w:tr>
    </w:tbl>
    <w:p>
      <w:pPr>
        <w:spacing w:after="120"/>
      </w:pPr>
    </w:p>
    <w:p>
      <w:pPr>
        <w:pStyle w:val="Heading3"/>
        <w:spacing w:after="80" w:before="160"/>
      </w:pPr>
      <w:r>
        <w:rPr>
          <w:rFonts w:ascii="Arial" w:cs="Arial" w:eastAsia="Arial" w:hAnsi="Arial"/>
          <w:b/>
          <w:bCs/>
          <w:color w:val="333333"/>
          <w:sz w:val="24"/>
          <w:szCs w:val="24"/>
        </w:rPr>
        <w:t xml:space="preserve">4.2 Semantic Search Engine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5520"/>
        <w:gridCol w:w="1800"/>
        <w:gridCol w:w="1800"/>
      </w:tblGrid>
      <w:tr>
        <w:tc>
          <w:tcPr>
            <w:tcW w:type="dxa" w:w="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ID</w:t>
            </w:r>
          </w:p>
        </w:tc>
        <w:tc>
          <w:tcPr>
            <w:tcW w:type="dxa" w:w="55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Requirement</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Priority</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Acceptance Criteria</w:t>
            </w:r>
          </w:p>
        </w:tc>
      </w:tr>
      <w:tr>
        <w:tc>
          <w:tcPr>
            <w:tcW w:type="dxa" w:w="6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SS-01</w:t>
            </w:r>
          </w:p>
        </w:tc>
        <w:tc>
          <w:tcPr>
            <w:tcW w:type="dxa" w:w="55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shall expose a natural-language query interface powered by a vector embedding model (e.g., OpenAI text-embedding-3-large or equivalent). Users shall query the full solicitation and award corpus in plain English.</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P0</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Mean NDCG@10 &gt; 0.72 on internal benchmark queries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SS-02</w:t>
            </w:r>
          </w:p>
        </w:tc>
        <w:tc>
          <w:tcPr>
            <w:tcW w:type="dxa" w:w="5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shall support faceted filtering alongside semantic search: by agency, NAICS, set-aside type, award date range, dollar value range, and contract vehicle.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Filters correctly reduce result set in all combinations</w:t>
            </w:r>
          </w:p>
        </w:tc>
      </w:tr>
      <w:tr>
        <w:tc>
          <w:tcPr>
            <w:tcW w:type="dxa" w:w="6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SS-03</w:t>
            </w:r>
          </w:p>
        </w:tc>
        <w:tc>
          <w:tcPr>
            <w:tcW w:type="dxa" w:w="55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Search results shall include source citations (data origin, document ID, last updated) for every returned record.</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P0</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100% of results include source attribution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SS-04</w:t>
            </w:r>
          </w:p>
        </w:tc>
        <w:tc>
          <w:tcPr>
            <w:tcW w:type="dxa" w:w="5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shall support "More Like This" similarity search from any opportunity record, returning the 10 most semantically similar past awards.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Similarity results pass expert review in &gt;70% of sampled queries</w:t>
            </w:r>
          </w:p>
        </w:tc>
      </w:tr>
    </w:tbl>
    <w:p>
      <w:pPr>
        <w:spacing w:after="120"/>
      </w:pPr>
    </w:p>
    <w:p>
      <w:pPr>
        <w:pStyle w:val="Heading3"/>
        <w:spacing w:after="80" w:before="160"/>
      </w:pPr>
      <w:r>
        <w:rPr>
          <w:rFonts w:ascii="Arial" w:cs="Arial" w:eastAsia="Arial" w:hAnsi="Arial"/>
          <w:b/>
          <w:bCs/>
          <w:color w:val="333333"/>
          <w:sz w:val="24"/>
          <w:szCs w:val="24"/>
        </w:rPr>
        <w:t xml:space="preserve">4.3 Competitive Intelligence Module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5520"/>
        <w:gridCol w:w="1800"/>
        <w:gridCol w:w="1800"/>
      </w:tblGrid>
      <w:tr>
        <w:tc>
          <w:tcPr>
            <w:tcW w:type="dxa" w:w="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ID</w:t>
            </w:r>
          </w:p>
        </w:tc>
        <w:tc>
          <w:tcPr>
            <w:tcW w:type="dxa" w:w="55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Requirement</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Priority</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Acceptance Criteria</w:t>
            </w:r>
          </w:p>
        </w:tc>
      </w:tr>
      <w:tr>
        <w:tc>
          <w:tcPr>
            <w:tcW w:type="dxa" w:w="6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CI-01</w:t>
            </w:r>
          </w:p>
        </w:tc>
        <w:tc>
          <w:tcPr>
            <w:tcW w:type="dxa" w:w="55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shall maintain an incumbent contractor database with award history, subcontractor relationships, and pricing records indexed by DUNS/UEI, NAICS, and agency.</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P0</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Coverage of &gt; 90% of awards on USASpending.gov in target NAICS clusters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CI-02</w:t>
            </w:r>
          </w:p>
        </w:tc>
        <w:tc>
          <w:tcPr>
            <w:tcW w:type="dxa" w:w="5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Users shall be able to generate a competitor profile report for any DUNS/UEI showing: total obligated value by year, agency distribution, contract vehicle history, and known teaming partners.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Report renders in &lt; 5 seconds from cached data</w:t>
            </w:r>
          </w:p>
        </w:tc>
      </w:tr>
      <w:tr>
        <w:tc>
          <w:tcPr>
            <w:tcW w:type="dxa" w:w="6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CI-03</w:t>
            </w:r>
          </w:p>
        </w:tc>
        <w:tc>
          <w:tcPr>
            <w:tcW w:type="dxa" w:w="55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shall display a "price-to-win corridor" — estimated bid range derived from historical award pricing for comparable scopes — for any opportunity with sufficient historical data.</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P1</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Corridor shown for &gt;60% of P0-priority opportunities (sufficient data threshold)</w:t>
            </w:r>
          </w:p>
        </w:tc>
      </w:tr>
    </w:tbl>
    <w:p>
      <w:pPr>
        <w:spacing w:after="120"/>
      </w:pPr>
    </w:p>
    <w:p>
      <w:pPr>
        <w:pStyle w:val="Heading3"/>
        <w:spacing w:after="80" w:before="160"/>
      </w:pPr>
      <w:r>
        <w:rPr>
          <w:rFonts w:ascii="Arial" w:cs="Arial" w:eastAsia="Arial" w:hAnsi="Arial"/>
          <w:b/>
          <w:bCs/>
          <w:color w:val="333333"/>
          <w:sz w:val="24"/>
          <w:szCs w:val="24"/>
        </w:rPr>
        <w:t xml:space="preserve">4.4 Predictive Win Scoring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5520"/>
        <w:gridCol w:w="1800"/>
        <w:gridCol w:w="1800"/>
      </w:tblGrid>
      <w:tr>
        <w:tc>
          <w:tcPr>
            <w:tcW w:type="dxa" w:w="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ID</w:t>
            </w:r>
          </w:p>
        </w:tc>
        <w:tc>
          <w:tcPr>
            <w:tcW w:type="dxa" w:w="55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Requirement</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Priority</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Acceptance Criteria</w:t>
            </w:r>
          </w:p>
        </w:tc>
      </w:tr>
      <w:tr>
        <w:tc>
          <w:tcPr>
            <w:tcW w:type="dxa" w:w="6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WS-01</w:t>
            </w:r>
          </w:p>
        </w:tc>
        <w:tc>
          <w:tcPr>
            <w:tcW w:type="dxa" w:w="55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shall assign each solicitation a win-probability score (0–100) for the logged-in organisation's profile, based on: NAICS fit, past-performance alignment, competition density, agency relationship history, and set-aside match.</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P0</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Model AUC &gt; 0.76 on held-out validation dataset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WS-02</w:t>
            </w:r>
          </w:p>
        </w:tc>
        <w:tc>
          <w:tcPr>
            <w:tcW w:type="dxa" w:w="5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Win scores shall be accompanied by a plain-English explanation of the top three factors driving the score, generated via LLM with structured prompting.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Explanations pass coherence review; no hallucinated citations</w:t>
            </w:r>
          </w:p>
        </w:tc>
      </w:tr>
      <w:tr>
        <w:tc>
          <w:tcPr>
            <w:tcW w:type="dxa" w:w="6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WS-03</w:t>
            </w:r>
          </w:p>
        </w:tc>
        <w:tc>
          <w:tcPr>
            <w:tcW w:type="dxa" w:w="55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shall support score recalibration when a user updates their organisation profile (new past performance, new NAICS codes, new agency relationships).</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P1</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Recalibration completes within 60 seconds of profile update</w:t>
            </w:r>
          </w:p>
        </w:tc>
      </w:tr>
    </w:tbl>
    <w:p>
      <w:pPr>
        <w:spacing w:after="120"/>
      </w:pPr>
    </w:p>
    <w:p>
      <w:pPr>
        <w:pStyle w:val="Heading3"/>
        <w:spacing w:after="80" w:before="160"/>
      </w:pPr>
      <w:r>
        <w:rPr>
          <w:rFonts w:ascii="Arial" w:cs="Arial" w:eastAsia="Arial" w:hAnsi="Arial"/>
          <w:b/>
          <w:bCs/>
          <w:color w:val="333333"/>
          <w:sz w:val="24"/>
          <w:szCs w:val="24"/>
        </w:rPr>
        <w:t xml:space="preserve">4.5 Automated Narrative Drafting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5520"/>
        <w:gridCol w:w="1800"/>
        <w:gridCol w:w="1800"/>
      </w:tblGrid>
      <w:tr>
        <w:tc>
          <w:tcPr>
            <w:tcW w:type="dxa" w:w="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ID</w:t>
            </w:r>
          </w:p>
        </w:tc>
        <w:tc>
          <w:tcPr>
            <w:tcW w:type="dxa" w:w="55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Requirement</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Priority</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Acceptance Criteria</w:t>
            </w:r>
          </w:p>
        </w:tc>
      </w:tr>
      <w:tr>
        <w:tc>
          <w:tcPr>
            <w:tcW w:type="dxa" w:w="6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ND-01</w:t>
            </w:r>
          </w:p>
        </w:tc>
        <w:tc>
          <w:tcPr>
            <w:tcW w:type="dxa" w:w="55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shall generate a first-draft capability statement (500–800 words) for any solicitation using the user's organisational profile and the solicitation's scope of work as grounding context.</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P1</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80%+ of beta user drafts accepted with minor edits only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ND-02</w:t>
            </w:r>
          </w:p>
        </w:tc>
        <w:tc>
          <w:tcPr>
            <w:tcW w:type="dxa" w:w="5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shall generate a past-performance write-up template pre-populated with the three most relevant past awards from the user's profile (matched by NAICS and scope similarity).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Relevance of pre-populated awards confirmed by user in &gt;75% of sessions</w:t>
            </w:r>
          </w:p>
        </w:tc>
      </w:tr>
      <w:tr>
        <w:tc>
          <w:tcPr>
            <w:tcW w:type="dxa" w:w="6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ND-03</w:t>
            </w:r>
          </w:p>
        </w:tc>
        <w:tc>
          <w:tcPr>
            <w:tcW w:type="dxa" w:w="55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generated narrative content shall include inline citations to source data and shall not contain ungrounded assertions. Hallucination rate shall be &lt; 2% on fact-checkable claims.</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P0</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Automated fact-check pipeline flags &lt; 2% ungrounded claims</w:t>
            </w:r>
          </w:p>
        </w:tc>
      </w:tr>
    </w:tbl>
    <w:p>
      <w:pPr>
        <w:spacing w:after="120"/>
      </w:pPr>
    </w:p>
    <w:p>
      <w:r>
        <w:br w:type="page"/>
      </w:r>
    </w:p>
    <w:p>
      <w:pPr>
        <w:pStyle w:val="Heading2"/>
        <w:pBdr>
          <w:bottom w:val="single" w:color="C9A84C" w:sz="6" w:space="4"/>
        </w:pBdr>
        <w:spacing w:after="120" w:before="240"/>
      </w:pPr>
      <w:r>
        <w:rPr>
          <w:rFonts w:ascii="Arial" w:cs="Arial" w:eastAsia="Arial" w:hAnsi="Arial"/>
          <w:b/>
          <w:bCs/>
          <w:color w:val="1B3A6B"/>
          <w:sz w:val="28"/>
          <w:szCs w:val="28"/>
        </w:rPr>
        <w:t xml:space="preserve">5. Non-Functional Requirements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3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Category</w:t>
            </w:r>
          </w:p>
        </w:tc>
        <w:tc>
          <w:tcPr>
            <w:tcW w:type="dxa" w:w="39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Requirement</w:t>
            </w:r>
          </w:p>
        </w:tc>
        <w:tc>
          <w:tcPr>
            <w:tcW w:type="dxa" w:w="33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Target</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bCs/>
                <w:color w:val="333333"/>
                <w:sz w:val="20"/>
                <w:szCs w:val="20"/>
              </w:rPr>
              <w:t xml:space="preserve">Performance</w:t>
            </w:r>
          </w:p>
        </w:tc>
        <w:tc>
          <w:tcPr>
            <w:tcW w:type="dxa" w:w="39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Semantic search query response time</w:t>
            </w:r>
          </w:p>
        </w:tc>
        <w:tc>
          <w:tcPr>
            <w:tcW w:type="dxa" w:w="33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&lt; 2 seconds at p95 for indexed corpus</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bCs/>
                <w:color w:val="333333"/>
                <w:sz w:val="20"/>
                <w:szCs w:val="20"/>
              </w:rPr>
              <w:t xml:space="preserve">Performance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Opportunity radar page load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&lt; 1.5 seconds (server-side rendered with CDN)</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bCs/>
                <w:color w:val="333333"/>
                <w:sz w:val="20"/>
                <w:szCs w:val="20"/>
              </w:rPr>
              <w:t xml:space="preserve">Availability</w:t>
            </w:r>
          </w:p>
        </w:tc>
        <w:tc>
          <w:tcPr>
            <w:tcW w:type="dxa" w:w="39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Platform uptime SLA</w:t>
            </w:r>
          </w:p>
        </w:tc>
        <w:tc>
          <w:tcPr>
            <w:tcW w:type="dxa" w:w="33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99.5% monthly; &lt; 4 hours scheduled maintenance window/month</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bCs/>
                <w:color w:val="333333"/>
                <w:sz w:val="20"/>
                <w:szCs w:val="20"/>
              </w:rPr>
              <w:t xml:space="preserve">Scalability</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Concurrent users (Phase 1 launch)</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&gt; 500 concurrent users without degradation</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bCs/>
                <w:color w:val="333333"/>
                <w:sz w:val="20"/>
                <w:szCs w:val="20"/>
              </w:rPr>
              <w:t xml:space="preserve">Security</w:t>
            </w:r>
          </w:p>
        </w:tc>
        <w:tc>
          <w:tcPr>
            <w:tcW w:type="dxa" w:w="39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Credential management</w:t>
            </w:r>
          </w:p>
        </w:tc>
        <w:tc>
          <w:tcPr>
            <w:tcW w:type="dxa" w:w="33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Zero secrets in codebase; all credentials via environment variables or secrets manager</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bCs/>
                <w:color w:val="333333"/>
                <w:sz w:val="20"/>
                <w:szCs w:val="20"/>
              </w:rPr>
              <w:t xml:space="preserve">Security</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encryption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TLS 1.3 in transit; AES-256 at rest</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bCs/>
                <w:color w:val="333333"/>
                <w:sz w:val="20"/>
                <w:szCs w:val="20"/>
              </w:rPr>
              <w:t xml:space="preserve">Security</w:t>
            </w:r>
          </w:p>
        </w:tc>
        <w:tc>
          <w:tcPr>
            <w:tcW w:type="dxa" w:w="39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Authentication</w:t>
            </w:r>
          </w:p>
        </w:tc>
        <w:tc>
          <w:tcPr>
            <w:tcW w:type="dxa" w:w="33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OAuth 2.0 / SAML SSO; MFA enforced for Enterprise tier</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bCs/>
                <w:color w:val="333333"/>
                <w:sz w:val="20"/>
                <w:szCs w:val="20"/>
              </w:rPr>
              <w:t xml:space="preserve">Compliance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residency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data stored in US-EAST-1 or US-WEST-2 AWS regions only</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bCs/>
                <w:color w:val="333333"/>
                <w:sz w:val="20"/>
                <w:szCs w:val="20"/>
              </w:rPr>
              <w:t xml:space="preserve">Compliance</w:t>
            </w:r>
          </w:p>
        </w:tc>
        <w:tc>
          <w:tcPr>
            <w:tcW w:type="dxa" w:w="39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logging</w:t>
            </w:r>
          </w:p>
        </w:tc>
        <w:tc>
          <w:tcPr>
            <w:tcW w:type="dxa" w:w="33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data access events logged; 90-day retention minimum</w:t>
            </w:r>
          </w:p>
        </w:tc>
      </w:tr>
      <w:tr>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bCs/>
                <w:color w:val="333333"/>
                <w:sz w:val="20"/>
                <w:szCs w:val="20"/>
              </w:rPr>
              <w:t xml:space="preserve">Observability</w:t>
            </w:r>
          </w:p>
        </w:tc>
        <w:tc>
          <w:tcPr>
            <w:tcW w:type="dxa" w:w="3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Error rate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&lt; 0.5% 5xx error rate in production</w:t>
            </w:r>
          </w:p>
        </w:tc>
      </w:tr>
    </w:tbl>
    <w:p>
      <w:pPr>
        <w:spacing w:after="120"/>
      </w:pPr>
    </w:p>
    <w:p>
      <w:pPr>
        <w:pStyle w:val="Heading2"/>
        <w:pBdr>
          <w:bottom w:val="single" w:color="C9A84C" w:sz="6" w:space="4"/>
        </w:pBdr>
        <w:spacing w:after="120" w:before="240"/>
      </w:pPr>
      <w:r>
        <w:rPr>
          <w:rFonts w:ascii="Arial" w:cs="Arial" w:eastAsia="Arial" w:hAnsi="Arial"/>
          <w:b/>
          <w:bCs/>
          <w:color w:val="1B3A6B"/>
          <w:sz w:val="28"/>
          <w:szCs w:val="28"/>
        </w:rPr>
        <w:t xml:space="preserve">6. Data Architecture Requirements</w:t>
      </w:r>
    </w:p>
    <w:p>
      <w:pPr>
        <w:spacing w:after="100"/>
        <w:jc w:val="both"/>
      </w:pPr>
      <w:r>
        <w:rPr>
          <w:rFonts w:ascii="Arial" w:cs="Arial" w:eastAsia="Arial" w:hAnsi="Arial"/>
          <w:color w:val="333333"/>
          <w:sz w:val="22"/>
          <w:szCs w:val="22"/>
        </w:rPr>
        <w:t xml:space="preserve">OmniCon's intelligence layer depends on a multi-store data architecture. Each store is purpose-selected for its access pattern:</w:t>
      </w:r>
    </w:p>
    <w:p>
      <w:pPr>
        <w:pStyle w:val="ListParagraph"/>
        <w:numPr>
          <w:ilvl w:val="0"/>
          <w:numId w:val="2"/>
        </w:numPr>
        <w:spacing w:after="60"/>
      </w:pPr>
      <w:r>
        <w:rPr>
          <w:rFonts w:ascii="Arial" w:cs="Arial" w:eastAsia="Arial" w:hAnsi="Arial"/>
          <w:color w:val="333333"/>
          <w:sz w:val="21"/>
          <w:szCs w:val="21"/>
        </w:rPr>
        <w:t xml:space="preserve">PostgreSQL (primary transactional store): user accounts, organisation profiles, opportunity pipeline state, bid decisions, audit logs, and all relational metadata.</w:t>
      </w:r>
    </w:p>
    <w:p>
      <w:pPr>
        <w:pStyle w:val="ListParagraph"/>
        <w:numPr>
          <w:ilvl w:val="0"/>
          <w:numId w:val="2"/>
        </w:numPr>
        <w:spacing w:after="60"/>
      </w:pPr>
      <w:r>
        <w:rPr>
          <w:rFonts w:ascii="Arial" w:cs="Arial" w:eastAsia="Arial" w:hAnsi="Arial"/>
          <w:color w:val="333333"/>
          <w:sz w:val="21"/>
          <w:szCs w:val="21"/>
        </w:rPr>
        <w:t xml:space="preserve">Elasticsearch (full-text + structured search): solicitation index, award index, and entity index (contractors, agencies, vehicles). Supports faceted filtering and keyword-fallback queries.</w:t>
      </w:r>
    </w:p>
    <w:p>
      <w:pPr>
        <w:pStyle w:val="ListParagraph"/>
        <w:numPr>
          <w:ilvl w:val="0"/>
          <w:numId w:val="2"/>
        </w:numPr>
        <w:spacing w:after="60"/>
      </w:pPr>
      <w:r>
        <w:rPr>
          <w:rFonts w:ascii="Arial" w:cs="Arial" w:eastAsia="Arial" w:hAnsi="Arial"/>
          <w:color w:val="333333"/>
          <w:sz w:val="21"/>
          <w:szCs w:val="21"/>
        </w:rPr>
        <w:t xml:space="preserve">Qdrant (vector store): embeddings of solicitation scopes, award narratives, and user past-performance documents. Enables semantic similarity search and RAG retrieval.</w:t>
      </w:r>
    </w:p>
    <w:p>
      <w:pPr>
        <w:pStyle w:val="ListParagraph"/>
        <w:numPr>
          <w:ilvl w:val="0"/>
          <w:numId w:val="2"/>
        </w:numPr>
        <w:spacing w:after="60"/>
      </w:pPr>
      <w:r>
        <w:rPr>
          <w:rFonts w:ascii="Arial" w:cs="Arial" w:eastAsia="Arial" w:hAnsi="Arial"/>
          <w:color w:val="333333"/>
          <w:sz w:val="21"/>
          <w:szCs w:val="21"/>
        </w:rPr>
        <w:t xml:space="preserve">S3 / Object Storage: raw document files (SOW PDFs, amendments, technical evaluation reports), structured exports, and model artefacts.</w:t>
      </w:r>
    </w:p>
    <w:p>
      <w:pPr>
        <w:pStyle w:val="ListParagraph"/>
        <w:numPr>
          <w:ilvl w:val="0"/>
          <w:numId w:val="2"/>
        </w:numPr>
        <w:spacing w:after="60"/>
      </w:pPr>
      <w:r>
        <w:rPr>
          <w:rFonts w:ascii="Arial" w:cs="Arial" w:eastAsia="Arial" w:hAnsi="Arial"/>
          <w:color w:val="333333"/>
          <w:sz w:val="21"/>
          <w:szCs w:val="21"/>
        </w:rPr>
        <w:t xml:space="preserve">Redis (cache layer): session state, frequently-queried opportunity cards, rate-limiting counters, and search result caches with 24-hour TTL.</w:t>
      </w:r>
    </w:p>
    <w:p>
      <w:pPr>
        <w:spacing w:after="80"/>
      </w:pPr>
    </w:p>
    <w:p>
      <w:pPr>
        <w:spacing w:after="100"/>
        <w:jc w:val="both"/>
      </w:pPr>
      <w:r>
        <w:rPr>
          <w:rFonts w:ascii="Arial" w:cs="Arial" w:eastAsia="Arial" w:hAnsi="Arial"/>
          <w:color w:val="333333"/>
          <w:sz w:val="22"/>
          <w:szCs w:val="22"/>
        </w:rPr>
        <w:t xml:space="preserve">Data freshness contract: all solicitation data shall be refreshed within 24 hours of source publication. Historical award data (USASpending.gov) shall be backfilled to January 2015 at launch. New agency additions shall be completed within 5 business days of request.</w:t>
      </w:r>
    </w:p>
    <w:p>
      <w:pPr>
        <w:pStyle w:val="Heading2"/>
        <w:pBdr>
          <w:bottom w:val="single" w:color="C9A84C" w:sz="6" w:space="4"/>
        </w:pBdr>
        <w:spacing w:after="120" w:before="240"/>
      </w:pPr>
      <w:r>
        <w:rPr>
          <w:rFonts w:ascii="Arial" w:cs="Arial" w:eastAsia="Arial" w:hAnsi="Arial"/>
          <w:b/>
          <w:bCs/>
          <w:color w:val="1B3A6B"/>
          <w:sz w:val="28"/>
          <w:szCs w:val="28"/>
        </w:rPr>
        <w:t xml:space="preserve">7. API &amp; Integration Specifications</w:t>
      </w:r>
    </w:p>
    <w:p>
      <w:pPr>
        <w:spacing w:after="100"/>
        <w:jc w:val="both"/>
      </w:pPr>
      <w:r>
        <w:rPr>
          <w:rFonts w:ascii="Arial" w:cs="Arial" w:eastAsia="Arial" w:hAnsi="Arial"/>
          <w:color w:val="333333"/>
          <w:sz w:val="22"/>
          <w:szCs w:val="22"/>
        </w:rPr>
        <w:t xml:space="preserve">OmniCon exposes a RESTful API and an MCP-compatible tool interface. All endpoints require authentication via Bearer token (JWT). Rate limits apply per subscription tier.</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920"/>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Endpoint</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Method</w:t>
            </w:r>
          </w:p>
        </w:tc>
        <w:tc>
          <w:tcPr>
            <w:tcW w:type="dxa" w:w="49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/api/v1/opportunities</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GET</w:t>
            </w:r>
          </w:p>
        </w:tc>
        <w:tc>
          <w:tcPr>
            <w:tcW w:type="dxa" w:w="49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Returns paginated opportunity feed for authenticated user's profile. Supports filter params: agency, naics, min_value, max_value, due_before.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/api/v1/search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POST</w:t>
            </w:r>
          </w:p>
        </w:tc>
        <w:tc>
          <w:tcPr>
            <w:tcW w:type="dxa" w:w="49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Accepts natural-language query and optional filter object. Returns ranked results with citations and win scores.</w:t>
            </w:r>
          </w:p>
        </w:tc>
      </w:tr>
      <w:tr>
        <w:tc>
          <w:tcPr>
            <w:tcW w:type="dxa" w:w="30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/api/v1/contractors/{uei}</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GET</w:t>
            </w:r>
          </w:p>
        </w:tc>
        <w:tc>
          <w:tcPr>
            <w:tcW w:type="dxa" w:w="49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Returns competitor profile: award history, teaming partners, agency distribution, pricing benchmarks.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/api/v1/draft/capability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POST</w:t>
            </w:r>
          </w:p>
        </w:tc>
        <w:tc>
          <w:tcPr>
            <w:tcW w:type="dxa" w:w="49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Accepts opportunity_id and org_profile_id. Returns generated capability statement draft.</w:t>
            </w:r>
          </w:p>
        </w:tc>
      </w:tr>
      <w:tr>
        <w:tc>
          <w:tcPr>
            <w:tcW w:type="dxa" w:w="30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/api/v1/pipeline</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GET / POST / PATCH</w:t>
            </w:r>
          </w:p>
        </w:tc>
        <w:tc>
          <w:tcPr>
            <w:tcW w:type="dxa" w:w="49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Create, read, and update opportunities in user's tracked pipeline. Supports status transitions: identified, evaluating, pursuing, submitted, won, lost.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/api/v1/alerts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GET / POST / DELETE</w:t>
            </w:r>
          </w:p>
        </w:tc>
        <w:tc>
          <w:tcPr>
            <w:tcW w:type="dxa" w:w="49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Manage user alert configurations. Supports threshold-based and keyword-based alert rules.</w:t>
            </w:r>
          </w:p>
        </w:tc>
      </w:tr>
    </w:tbl>
    <w:p>
      <w:pPr>
        <w:spacing w:after="80"/>
      </w:pPr>
    </w:p>
    <w:p>
      <w:pPr>
        <w:spacing w:after="100"/>
        <w:jc w:val="both"/>
      </w:pPr>
      <w:r>
        <w:rPr>
          <w:rFonts w:ascii="Arial" w:cs="Arial" w:eastAsia="Arial" w:hAnsi="Arial"/>
          <w:color w:val="333333"/>
          <w:sz w:val="22"/>
          <w:szCs w:val="22"/>
        </w:rPr>
        <w:t xml:space="preserve">Third-party integrations: GovTribe (MCP server — primary data source, Phase 1); SAM.gov API (solicitation validation); USASpending.gov API (award data); Twilio (alert SMS delivery); SendGrid (digest email delivery).</w:t>
      </w:r>
    </w:p>
    <w:p>
      <w:pPr>
        <w:pStyle w:val="Heading2"/>
        <w:pBdr>
          <w:bottom w:val="single" w:color="C9A84C" w:sz="6" w:space="4"/>
        </w:pBdr>
        <w:spacing w:after="120" w:before="240"/>
      </w:pPr>
      <w:r>
        <w:rPr>
          <w:rFonts w:ascii="Arial" w:cs="Arial" w:eastAsia="Arial" w:hAnsi="Arial"/>
          <w:b/>
          <w:bCs/>
          <w:color w:val="1B3A6B"/>
          <w:sz w:val="28"/>
          <w:szCs w:val="28"/>
        </w:rPr>
        <w:t xml:space="preserve">8. Key User Stories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320"/>
        <w:gridCol w:w="2400"/>
      </w:tblGrid>
      <w:tr>
        <w:tc>
          <w:tcPr>
            <w:tcW w:type="dxa" w:w="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US#</w:t>
            </w:r>
          </w:p>
        </w:tc>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Persona</w:t>
            </w:r>
          </w:p>
        </w:tc>
        <w:tc>
          <w:tcPr>
            <w:tcW w:type="dxa" w:w="43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Story</w:t>
            </w:r>
          </w:p>
        </w:tc>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Acceptance Criteria</w:t>
            </w:r>
          </w:p>
        </w:tc>
      </w:tr>
      <w:tr>
        <w:tc>
          <w:tcPr>
            <w:tcW w:type="dxa" w:w="6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US-01</w:t>
            </w:r>
          </w:p>
        </w:tc>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BD Analyst</w:t>
            </w:r>
          </w:p>
        </w:tc>
        <w:tc>
          <w:tcPr>
            <w:tcW w:type="dxa" w:w="43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As a BD Analyst, I want to see a daily ranked list of open solicitations that match my company's capabilities, so I can focus on qualified opportunities without manual SAM.gov browsing.</w:t>
            </w:r>
          </w:p>
        </w:tc>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Feed loads &lt; 2s; top 20 results shown; each card shows all required fields.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US-02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Capture Manager</w:t>
            </w:r>
          </w:p>
        </w:tc>
        <w:tc>
          <w:tcPr>
            <w:tcW w:type="dxa" w:w="43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As a Capture Manager, I want to query 'all DoD cloud modernisation awards above $5M in FY24' and see the winners, values, and subcontractors, so I can understand the competitive landscape before writing win strategy.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Query returns results in &lt; 2s; subcontractor data present for &gt; 80% of awards.</w:t>
            </w:r>
          </w:p>
        </w:tc>
      </w:tr>
      <w:tr>
        <w:tc>
          <w:tcPr>
            <w:tcW w:type="dxa" w:w="6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US-03</w:t>
            </w:r>
          </w:p>
        </w:tc>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BD Analyst</w:t>
            </w:r>
          </w:p>
        </w:tc>
        <w:tc>
          <w:tcPr>
            <w:tcW w:type="dxa" w:w="43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As a BD Analyst, I want the platform to generate a first-draft capability statement for a specific solicitation, so I can cut proposal preparation time by 60%.</w:t>
            </w:r>
          </w:p>
        </w:tc>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Draft generated in &lt; 30s; grounded in solicitation SOW; no hallucinated claims.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US-04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BD Director</w:t>
            </w:r>
          </w:p>
        </w:tc>
        <w:tc>
          <w:tcPr>
            <w:tcW w:type="dxa" w:w="43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As a BD Director, I want to see a pipeline dashboard showing opportunities by stage, value, win probability, and BD analyst owner, so I can make resource allocation decisions in under 5 minutes.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Dashboard loads &lt; 2s; all five data dimensions visible; exportable to PDF.</w:t>
            </w:r>
          </w:p>
        </w:tc>
      </w:tr>
      <w:tr>
        <w:tc>
          <w:tcPr>
            <w:tcW w:type="dxa" w:w="6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US-05</w:t>
            </w:r>
          </w:p>
        </w:tc>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Capture Manager</w:t>
            </w:r>
          </w:p>
        </w:tc>
        <w:tc>
          <w:tcPr>
            <w:tcW w:type="dxa" w:w="43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As a Capture Manager, I want to receive an alert when a solicitation matching my saved search is published, so I can begin capture planning within 24 hours of release.</w:t>
            </w:r>
          </w:p>
        </w:tc>
        <w:tc>
          <w:tcPr>
            <w:tcW w:type="dxa" w:w="24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Alert delivered via email/SMS within 1 hour of solicitation ingestion.</w:t>
            </w:r>
          </w:p>
        </w:tc>
      </w:tr>
    </w:tbl>
    <w:p>
      <w:pPr>
        <w:spacing w:after="120"/>
      </w:pPr>
    </w:p>
    <w:p>
      <w:r>
        <w:br w:type="page"/>
      </w:r>
    </w:p>
    <w:p>
      <w:pPr>
        <w:pStyle w:val="Heading2"/>
        <w:pBdr>
          <w:bottom w:val="single" w:color="C9A84C" w:sz="6" w:space="4"/>
        </w:pBdr>
        <w:spacing w:after="120" w:before="240"/>
      </w:pPr>
      <w:r>
        <w:rPr>
          <w:rFonts w:ascii="Arial" w:cs="Arial" w:eastAsia="Arial" w:hAnsi="Arial"/>
          <w:b/>
          <w:bCs/>
          <w:color w:val="1B3A6B"/>
          <w:sz w:val="28"/>
          <w:szCs w:val="28"/>
        </w:rPr>
        <w:t xml:space="preserve">9. Phased Delivery Roadmap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3240"/>
        <w:gridCol w:w="3600"/>
      </w:tblGrid>
      <w:tr>
        <w:tc>
          <w:tcPr>
            <w:tcW w:type="dxa" w:w="14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Phase</w:t>
            </w:r>
          </w:p>
        </w:tc>
        <w:tc>
          <w:tcPr>
            <w:tcW w:type="dxa" w:w="14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Weeks</w:t>
            </w:r>
          </w:p>
        </w:tc>
        <w:tc>
          <w:tcPr>
            <w:tcW w:type="dxa" w:w="32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Modules in Scope</w:t>
            </w:r>
          </w:p>
        </w:tc>
        <w:tc>
          <w:tcPr>
            <w:tcW w:type="dxa" w:w="3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Exit Criteria</w:t>
            </w:r>
          </w:p>
        </w:tc>
      </w:tr>
      <w:tr>
        <w:tc>
          <w:tcPr>
            <w:tcW w:type="dxa" w:w="14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bCs/>
                <w:color w:val="333333"/>
                <w:sz w:val="20"/>
                <w:szCs w:val="20"/>
              </w:rPr>
              <w:t xml:space="preserve">0 — Discovery</w:t>
            </w:r>
          </w:p>
        </w:tc>
        <w:tc>
          <w:tcPr>
            <w:tcW w:type="dxa" w:w="14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1–2</w:t>
            </w:r>
          </w:p>
        </w:tc>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Requirements finalisation, data source audit, architecture blueprint, risk register</w:t>
            </w:r>
          </w:p>
        </w:tc>
        <w:tc>
          <w:tcPr>
            <w:tcW w:type="dxa" w:w="36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Signed SOW; architecture sign-off by DFL engineering lead and client sponsor</w:t>
            </w:r>
          </w:p>
        </w:tc>
      </w:tr>
      <w:tr>
        <w:tc>
          <w:tcPr>
            <w:tcW w:type="dxa" w:w="14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bCs/>
                <w:color w:val="333333"/>
                <w:sz w:val="20"/>
                <w:szCs w:val="20"/>
              </w:rPr>
              <w:t xml:space="preserve">1 — Foundation</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3–6</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ingestion pipeline (SAM.gov + GovTribe MCP); PostgreSQL schema; auth layer; admin portal v1</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Live data flowing to staging environment; &lt; 0.5% ingest error rate; auth working</w:t>
            </w:r>
          </w:p>
        </w:tc>
      </w:tr>
      <w:tr>
        <w:tc>
          <w:tcPr>
            <w:tcW w:type="dxa" w:w="14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bCs/>
                <w:color w:val="333333"/>
                <w:sz w:val="20"/>
                <w:szCs w:val="20"/>
              </w:rPr>
              <w:t xml:space="preserve">2 — AI Core</w:t>
            </w:r>
          </w:p>
        </w:tc>
        <w:tc>
          <w:tcPr>
            <w:tcW w:type="dxa" w:w="14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7–11</w:t>
            </w:r>
          </w:p>
        </w:tc>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Elasticsearch + Qdrant indexing; semantic search engine; win-scoring model v1; RAG narrative pipeline</w:t>
            </w:r>
          </w:p>
        </w:tc>
        <w:tc>
          <w:tcPr>
            <w:tcW w:type="dxa" w:w="36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Search NDCG@10 &gt; 0.72; win-score AUC &gt; 0.76; narrative hallucination rate &lt; 2%</w:t>
            </w:r>
          </w:p>
        </w:tc>
      </w:tr>
      <w:tr>
        <w:tc>
          <w:tcPr>
            <w:tcW w:type="dxa" w:w="14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bCs/>
                <w:color w:val="333333"/>
                <w:sz w:val="20"/>
                <w:szCs w:val="20"/>
              </w:rPr>
              <w:t xml:space="preserve">3 — Product</w:t>
            </w:r>
          </w:p>
        </w:tc>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12–14</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React workspace UI; opportunity radar; competitive intelligence module; pipeline tracker; alert system</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Beta cohort of 10 organisations onboarded; user onboarding NPS &gt; 40</w:t>
            </w:r>
          </w:p>
        </w:tc>
      </w:tr>
      <w:tr>
        <w:tc>
          <w:tcPr>
            <w:tcW w:type="dxa" w:w="14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bCs/>
                <w:color w:val="333333"/>
                <w:sz w:val="20"/>
                <w:szCs w:val="20"/>
              </w:rPr>
              <w:t xml:space="preserve">4 — Launch</w:t>
            </w:r>
          </w:p>
        </w:tc>
        <w:tc>
          <w:tcPr>
            <w:tcW w:type="dxa" w:w="14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15–16</w:t>
            </w:r>
          </w:p>
        </w:tc>
        <w:tc>
          <w:tcPr>
            <w:tcW w:type="dxa" w:w="32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Production deployment; monitoring (Datadog/Grafana); load testing; support runbooks; go-live</w:t>
            </w:r>
          </w:p>
        </w:tc>
        <w:tc>
          <w:tcPr>
            <w:tcW w:type="dxa" w:w="36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Platform live; 99.5% uptime in Week 16; first paying account activated</w:t>
            </w:r>
          </w:p>
        </w:tc>
      </w:tr>
    </w:tbl>
    <w:p>
      <w:pPr>
        <w:spacing w:after="120"/>
      </w:pPr>
    </w:p>
    <w:p>
      <w:pPr>
        <w:pStyle w:val="Heading2"/>
        <w:pBdr>
          <w:bottom w:val="single" w:color="C9A84C" w:sz="6" w:space="4"/>
        </w:pBdr>
        <w:spacing w:after="120" w:before="240"/>
      </w:pPr>
      <w:r>
        <w:rPr>
          <w:rFonts w:ascii="Arial" w:cs="Arial" w:eastAsia="Arial" w:hAnsi="Arial"/>
          <w:b/>
          <w:bCs/>
          <w:color w:val="1B3A6B"/>
          <w:sz w:val="28"/>
          <w:szCs w:val="28"/>
        </w:rPr>
        <w:t xml:space="preserve">10. Launch Acceptance Criteria</w:t>
      </w:r>
    </w:p>
    <w:p>
      <w:pPr>
        <w:spacing w:after="100"/>
        <w:jc w:val="both"/>
      </w:pPr>
      <w:r>
        <w:rPr>
          <w:rFonts w:ascii="Arial" w:cs="Arial" w:eastAsia="Arial" w:hAnsi="Arial"/>
          <w:color w:val="333333"/>
          <w:sz w:val="22"/>
          <w:szCs w:val="22"/>
        </w:rPr>
        <w:t xml:space="preserve">The following criteria must be satisfied before the platform is approved for general availability launch. All criteria are measured by DFL's QA lead in collaboration with the client sponsor:</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5520"/>
        <w:gridCol w:w="1800"/>
        <w:gridCol w:w="1800"/>
      </w:tblGrid>
      <w:tr>
        <w:tc>
          <w:tcPr>
            <w:tcW w:type="dxa" w:w="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55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Criterion</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Owner</w:t>
            </w:r>
          </w:p>
        </w:tc>
        <w:tc>
          <w:tcPr>
            <w:tcW w:type="dxa" w:w="18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Status</w:t>
            </w:r>
          </w:p>
        </w:tc>
      </w:tr>
      <w:tr>
        <w:tc>
          <w:tcPr>
            <w:tcW w:type="dxa" w:w="6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AC-01</w:t>
            </w:r>
          </w:p>
        </w:tc>
        <w:tc>
          <w:tcPr>
            <w:tcW w:type="dxa" w:w="55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Daily ingest job completes with &lt; 0.1% record drop rate for 7 consecutive days</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Engineering</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 ] Open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AC-02</w:t>
            </w:r>
          </w:p>
        </w:tc>
        <w:tc>
          <w:tcPr>
            <w:tcW w:type="dxa" w:w="5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Semantic search NDCG@10 &gt; 0.72 on 100-query benchmark set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AI/ML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 Open</w:t>
            </w:r>
          </w:p>
        </w:tc>
      </w:tr>
      <w:tr>
        <w:tc>
          <w:tcPr>
            <w:tcW w:type="dxa" w:w="6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AC-03</w:t>
            </w:r>
          </w:p>
        </w:tc>
        <w:tc>
          <w:tcPr>
            <w:tcW w:type="dxa" w:w="55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Win-scoring model AUC &gt; 0.76 on held-out validation set</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AI/ML</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 ] Open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AC-04</w:t>
            </w:r>
          </w:p>
        </w:tc>
        <w:tc>
          <w:tcPr>
            <w:tcW w:type="dxa" w:w="5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Narrative hallucination rate &lt; 2% on 50-solicitation test batch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AI/ML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 Open</w:t>
            </w:r>
          </w:p>
        </w:tc>
      </w:tr>
      <w:tr>
        <w:tc>
          <w:tcPr>
            <w:tcW w:type="dxa" w:w="6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AC-05</w:t>
            </w:r>
          </w:p>
        </w:tc>
        <w:tc>
          <w:tcPr>
            <w:tcW w:type="dxa" w:w="55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Platform achieves &lt; 2s p95 latency under 500 concurrent user load test</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Engineering</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 ] Open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AC-06</w:t>
            </w:r>
          </w:p>
        </w:tc>
        <w:tc>
          <w:tcPr>
            <w:tcW w:type="dxa" w:w="5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Zero P0 security findings in third-party penetration test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 Open</w:t>
            </w:r>
          </w:p>
        </w:tc>
      </w:tr>
      <w:tr>
        <w:tc>
          <w:tcPr>
            <w:tcW w:type="dxa" w:w="6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AC-07</w:t>
            </w:r>
          </w:p>
        </w:tc>
        <w:tc>
          <w:tcPr>
            <w:tcW w:type="dxa" w:w="552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Beta cohort NPS &gt; 40 after 2-week usage period</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Product</w:t>
            </w:r>
          </w:p>
        </w:tc>
        <w:tc>
          <w:tcPr>
            <w:tcW w:type="dxa" w:w="180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 ] Open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AC-08</w:t>
            </w:r>
          </w:p>
        </w:tc>
        <w:tc>
          <w:tcPr>
            <w:tcW w:type="dxa" w:w="5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environment variables confirmed set via secrets manager; no credentials in git history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Engineering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 Open</w:t>
            </w:r>
          </w:p>
        </w:tc>
      </w:tr>
    </w:tbl>
    <w:p>
      <w:pPr>
        <w:spacing w:after="120"/>
      </w:pPr>
    </w:p>
    <w:p>
      <w:pPr>
        <w:pStyle w:val="Heading2"/>
        <w:pBdr>
          <w:bottom w:val="single" w:color="C9A84C" w:sz="6" w:space="4"/>
        </w:pBdr>
        <w:spacing w:after="120" w:before="240"/>
      </w:pPr>
      <w:r>
        <w:rPr>
          <w:rFonts w:ascii="Arial" w:cs="Arial" w:eastAsia="Arial" w:hAnsi="Arial"/>
          <w:b/>
          <w:bCs/>
          <w:color w:val="1B3A6B"/>
          <w:sz w:val="28"/>
          <w:szCs w:val="28"/>
        </w:rPr>
        <w:t xml:space="preserve">11. Assumptions &amp; Constraints</w:t>
      </w:r>
    </w:p>
    <w:p>
      <w:pPr>
        <w:pStyle w:val="ListParagraph"/>
        <w:numPr>
          <w:ilvl w:val="0"/>
          <w:numId w:val="2"/>
        </w:numPr>
        <w:spacing w:after="60"/>
      </w:pPr>
      <w:r>
        <w:rPr>
          <w:rFonts w:ascii="Arial" w:cs="Arial" w:eastAsia="Arial" w:hAnsi="Arial"/>
          <w:color w:val="333333"/>
          <w:sz w:val="21"/>
          <w:szCs w:val="21"/>
        </w:rPr>
        <w:t xml:space="preserve">GovTribe's MCP endpoint remains accessible and rate-limited at &gt; 10,000 requests/day throughout Phase 1 development. If deprecated, DFL activates the proprietary scraping fallback within 5 business days.</w:t>
      </w:r>
    </w:p>
    <w:p>
      <w:pPr>
        <w:pStyle w:val="ListParagraph"/>
        <w:numPr>
          <w:ilvl w:val="0"/>
          <w:numId w:val="2"/>
        </w:numPr>
        <w:spacing w:after="60"/>
      </w:pPr>
      <w:r>
        <w:rPr>
          <w:rFonts w:ascii="Arial" w:cs="Arial" w:eastAsia="Arial" w:hAnsi="Arial"/>
          <w:color w:val="333333"/>
          <w:sz w:val="21"/>
          <w:szCs w:val="21"/>
        </w:rPr>
        <w:t xml:space="preserve">Client provides organisational profile data (NAICS codes, past-performance awards, agency relationships) within 2 weeks of Phase 0 kickoff to enable model personalisation.</w:t>
      </w:r>
    </w:p>
    <w:p>
      <w:pPr>
        <w:pStyle w:val="ListParagraph"/>
        <w:numPr>
          <w:ilvl w:val="0"/>
          <w:numId w:val="2"/>
        </w:numPr>
        <w:spacing w:after="60"/>
      </w:pPr>
      <w:r>
        <w:rPr>
          <w:rFonts w:ascii="Arial" w:cs="Arial" w:eastAsia="Arial" w:hAnsi="Arial"/>
          <w:color w:val="333333"/>
          <w:sz w:val="21"/>
          <w:szCs w:val="21"/>
        </w:rPr>
        <w:t xml:space="preserve">Infrastructure is deployed on AWS (us-east-1 primary, us-west-2 DR). No on-premise deployment requirements in Version 1.0.</w:t>
      </w:r>
    </w:p>
    <w:p>
      <w:pPr>
        <w:pStyle w:val="ListParagraph"/>
        <w:numPr>
          <w:ilvl w:val="0"/>
          <w:numId w:val="2"/>
        </w:numPr>
        <w:spacing w:after="60"/>
      </w:pPr>
      <w:r>
        <w:rPr>
          <w:rFonts w:ascii="Arial" w:cs="Arial" w:eastAsia="Arial" w:hAnsi="Arial"/>
          <w:color w:val="333333"/>
          <w:sz w:val="21"/>
          <w:szCs w:val="21"/>
        </w:rPr>
        <w:t xml:space="preserve">All generated narrative content is subject to human review before submission; OmniCon is an augmentation tool, not an autonomous proposal submission system.</w:t>
      </w:r>
    </w:p>
    <w:p>
      <w:pPr>
        <w:pStyle w:val="ListParagraph"/>
        <w:numPr>
          <w:ilvl w:val="0"/>
          <w:numId w:val="2"/>
        </w:numPr>
        <w:spacing w:after="60"/>
      </w:pPr>
      <w:r>
        <w:rPr>
          <w:rFonts w:ascii="Arial" w:cs="Arial" w:eastAsia="Arial" w:hAnsi="Arial"/>
          <w:color w:val="333333"/>
          <w:sz w:val="21"/>
          <w:szCs w:val="21"/>
        </w:rPr>
        <w:t xml:space="preserve">FedRAMP authorisation is targeted for Year 2. Version 1.0 is designed to be FedRAMP-aligned but not yet authorised.</w:t>
      </w:r>
    </w:p>
    <w:p>
      <w:pPr>
        <w:spacing w:after="120"/>
      </w:pPr>
    </w:p>
    <w:p>
      <w:pPr>
        <w:pStyle w:val="Heading2"/>
        <w:pBdr>
          <w:bottom w:val="single" w:color="C9A84C" w:sz="6" w:space="4"/>
        </w:pBdr>
        <w:spacing w:after="120" w:before="240"/>
      </w:pPr>
      <w:r>
        <w:rPr>
          <w:rFonts w:ascii="Arial" w:cs="Arial" w:eastAsia="Arial" w:hAnsi="Arial"/>
          <w:b/>
          <w:bCs/>
          <w:color w:val="1B3A6B"/>
          <w:sz w:val="28"/>
          <w:szCs w:val="28"/>
        </w:rPr>
        <w:t xml:space="preserve">12. Document Change Log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3960"/>
        <w:gridCol w:w="2880"/>
      </w:tblGrid>
      <w:tr>
        <w:tc>
          <w:tcPr>
            <w:tcW w:type="dxa" w:w="14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Version</w:t>
            </w:r>
          </w:p>
        </w:tc>
        <w:tc>
          <w:tcPr>
            <w:tcW w:type="dxa" w:w="14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Date</w:t>
            </w:r>
          </w:p>
        </w:tc>
        <w:tc>
          <w:tcPr>
            <w:tcW w:type="dxa" w:w="39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Change Summary</w:t>
            </w:r>
          </w:p>
        </w:tc>
        <w:tc>
          <w:tcPr>
            <w:tcW w:type="dxa" w:w="288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Author</w:t>
            </w:r>
          </w:p>
        </w:tc>
      </w:tr>
      <w:tr>
        <w:tc>
          <w:tcPr>
            <w:tcW w:type="dxa" w:w="14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44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June 2025</w:t>
            </w:r>
          </w:p>
        </w:tc>
        <w:tc>
          <w:tcPr>
            <w:tcW w:type="dxa" w:w="396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PRD — all sections complete; submitted for client review</w:t>
            </w:r>
          </w:p>
        </w:tc>
        <w:tc>
          <w:tcPr>
            <w:tcW w:type="dxa" w:w="2880"/>
            <w:tcBorders>
              <w:top w:val="single" w:color="DDDDDD" w:sz="1"/>
              <w:left w:val="single" w:color="DDDDDD" w:sz="1"/>
              <w:bottom w:val="single" w:color="DDDDDD" w:sz="1"/>
              <w:right w:val="single" w:color="DDDDDD" w:sz="1"/>
            </w:tcBorders>
            <w:shd w:fill="EFF4FB" w:val="clear"/>
            <w:tcMar>
              <w:top w:type="dxa" w:w="80"/>
              <w:left w:type="dxa" w:w="140"/>
              <w:bottom w:type="dxa" w:w="80"/>
              <w:right w:type="dxa" w:w="140"/>
            </w:tcMar>
          </w:tcPr>
          <w:p>
            <w:r>
              <w:rPr>
                <w:rFonts w:ascii="Arial" w:cs="Arial" w:eastAsia="Arial" w:hAnsi="Arial"/>
                <w:b w:val="false"/>
                <w:bCs w:val="false"/>
                <w:color w:val="333333"/>
                <w:sz w:val="20"/>
                <w:szCs w:val="20"/>
              </w:rPr>
              <w:t xml:space="preserve">Boroji Adebayo-Hopewell</w:t>
            </w:r>
          </w:p>
        </w:tc>
      </w:tr>
    </w:tbl>
    <w:p>
      <w:pPr>
        <w:spacing w:after="160"/>
      </w:pPr>
    </w:p>
    <w:p>
      <w:pPr>
        <w:pBdr>
          <w:bottom w:val="single" w:color="C9A84C" w:sz="6" w:space="2"/>
        </w:pBdr>
        <w:spacing w:after="100" w:before="100"/>
      </w:pPr>
    </w:p>
    <w:p>
      <w:pPr>
        <w:spacing w:after="60" w:before="160"/>
        <w:jc w:val="center"/>
      </w:pPr>
      <w:r>
        <w:rPr>
          <w:rFonts w:ascii="Arial" w:cs="Arial" w:eastAsia="Arial" w:hAnsi="Arial"/>
          <w:b/>
          <w:bCs/>
          <w:color w:val="1B3A6B"/>
          <w:sz w:val="22"/>
          <w:szCs w:val="22"/>
        </w:rPr>
        <w:t xml:space="preserve">Digital Fusion Labs — OmniCon PRD v1.0 — Confidential</w:t>
      </w:r>
    </w:p>
    <w:p>
      <w:pPr>
        <w:spacing w:after="40"/>
        <w:jc w:val="center"/>
      </w:pPr>
      <w:r>
        <w:rPr>
          <w:rFonts w:ascii="Arial" w:cs="Arial" w:eastAsia="Arial" w:hAnsi="Arial"/>
          <w:color w:val="555555"/>
          <w:sz w:val="20"/>
          <w:szCs w:val="20"/>
        </w:rPr>
        <w:t xml:space="preserve">Boroji Adebayo-Hopewell, Research &amp; Strategy Lead  |  info@digifusionlabs.com</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spacing w:before="80"/>
    </w:pPr>
    <w:r>
      <w:rPr>
        <w:rFonts w:ascii="Arial" w:cs="Arial" w:eastAsia="Arial" w:hAnsi="Arial"/>
        <w:color w:val="888888"/>
        <w:sz w:val="17"/>
        <w:szCs w:val="17"/>
      </w:rPr>
      <w:t xml:space="preserve">© 2025 Digital Fusion Labs  |  Author: Boroji Adebayo-Hopewell, Research &amp; Strategy Lead</w:t>
    </w:r>
    <w:r>
      <w:rPr>
        <w:sz w:val="17"/>
        <w:szCs w:val="17"/>
      </w:rPr>
      <w:t xml:space="preserve">	</w:t>
    </w: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4"/>
      </w:pBdr>
      <w:tabs>
        <w:tab w:val="right" w:pos="9026"/>
      </w:tabs>
      <w:spacing w:after="0"/>
    </w:pPr>
    <w:r>
      <w:rPr>
        <w:rFonts w:ascii="Arial" w:cs="Arial" w:eastAsia="Arial" w:hAnsi="Arial"/>
        <w:b/>
        <w:bCs/>
        <w:color w:val="1B3A6B"/>
        <w:sz w:val="18"/>
        <w:szCs w:val="18"/>
      </w:rPr>
      <w:t xml:space="preserve">OmniCon — Product Requirements Document</w:t>
    </w:r>
    <w:r>
      <w:rPr>
        <w:sz w:val="18"/>
        <w:szCs w:val="18"/>
      </w:rPr>
      <w:t xml:space="preserve">	</w:t>
    </w:r>
    <w:r>
      <w:rPr>
        <w:rFonts w:ascii="Arial" w:cs="Arial" w:eastAsia="Arial" w:hAnsi="Arial"/>
        <w:color w:val="888888"/>
        <w:sz w:val="18"/>
        <w:szCs w:val="18"/>
      </w:rPr>
      <w:t xml:space="preserve">CONFIDENTIAL  |  Digital Fusion Labs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color w:val="C9A84C"/>
      </w:rPr>
    </w:lvl>
    <w:lvl w:ilvl="1" w15:tentative="1">
      <w:start w:val="1"/>
      <w:numFmt w:val="bullet"/>
      <w:lvlText w:val="–"/>
      <w:lvlJc w:val="left"/>
      <w:pPr>
        <w:ind w:left="900" w:hanging="360"/>
      </w:pPr>
      <w:rPr>
        <w:rFonts w:ascii="Arial" w:cs="Arial" w:eastAsia="Arial" w:hAnsi="Arial"/>
        <w:color w:val="777777"/>
      </w:rPr>
    </w:lvl>
  </w:abstractNum>
  <w:abstractNum w:abstractNumId="3" w15:restartNumberingAfterBreak="0">
    <w:multiLevelType w:val="hybridMultilevel"/>
    <w:lvl w:ilvl="0" w15:tentative="1">
      <w:start w:val="1"/>
      <w:numFmt w:val="decimal"/>
      <w:lvlText w:val="%1."/>
      <w:lvlJc w:val="left"/>
      <w:pPr>
        <w:ind w:left="54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2026-06-02T01:17:50.745Z</dcterms:created>
  <dcterms:modified xsi:type="dcterms:W3CDTF">2026-06-02T01:17:50.746Z</dcterms:modified>
</cp:coreProperties>
</file>

<file path=docProps/custom.xml><?xml version="1.0" encoding="utf-8"?>
<Properties xmlns="http://schemas.openxmlformats.org/officeDocument/2006/custom-properties" xmlns:vt="http://schemas.openxmlformats.org/officeDocument/2006/docPropsVTypes"/>
</file>