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60" w:before="0"/>
        <w:jc w:val="center"/>
      </w:pPr>
      <w:r>
        <w:rPr>
          <w:rFonts w:ascii="Arial" w:cs="Arial" w:eastAsia="Arial" w:hAnsi="Arial"/>
          <w:b/>
          <w:bCs/>
          <w:color w:val="1B3A6B"/>
          <w:sz w:val="48"/>
          <w:szCs w:val="48"/>
        </w:rPr>
        <w:t xml:space="preserve">PROJECT OMNICON</w:t>
      </w:r>
    </w:p>
    <w:p>
      <w:pPr>
        <w:spacing w:after="80" w:before="0"/>
        <w:jc w:val="center"/>
      </w:pPr>
      <w:r>
        <w:rPr>
          <w:rFonts w:ascii="Arial" w:cs="Arial" w:eastAsia="Arial" w:hAnsi="Arial"/>
          <w:color w:val="555555"/>
          <w:sz w:val="32"/>
          <w:szCs w:val="32"/>
        </w:rPr>
        <w:t xml:space="preserve">GovCon Intelligence Platform</w:t>
      </w:r>
    </w:p>
    <w:p>
      <w:pPr>
        <w:pBdr>
          <w:bottom w:val="single" w:color="C8102E" w:sz="8"/>
        </w:pBdr>
        <w:spacing w:after="400" w:before="0"/>
        <w:jc w:val="center"/>
      </w:pPr>
      <w:r>
        <w:rPr>
          <w:rFonts w:ascii="Arial" w:cs="Arial" w:eastAsia="Arial" w:hAnsi="Arial"/>
          <w:i/>
          <w:iCs/>
          <w:color w:val="888888"/>
          <w:sz w:val="24"/>
          <w:szCs w:val="24"/>
        </w:rPr>
        <w:t xml:space="preserve">Executive BD Meeting Brief  |  June 2026</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7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DigiFusion Advisory Group — Strategy &amp; Techno-Economics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CONFIDENTIAL — For Internal Use Only</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Meeting Date</w:t>
            </w:r>
          </w:p>
        </w:tc>
        <w:tc>
          <w:tcPr>
            <w:tcW w:type="dxa" w:w="7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Tomorrow, June 2026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Engagement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OmniCon Intelligence Platform — Discovery &amp; Scoping</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Meeting Purpose</w:t>
            </w:r>
          </w:p>
        </w:tc>
        <w:tc>
          <w:tcPr>
            <w:tcW w:type="dxa" w:w="7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Client needs assessment, architecture alignment, commercial framing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Prepared For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 Consultant / BD Manager</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8102E"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MANDATE</w:t>
            </w:r>
          </w:p>
        </w:tc>
        <w:tc>
          <w:tcPr>
            <w:tcW w:type="dxa" w:w="8160"/>
            <w:tcBorders>
              <w:top w:val="none" w:color="FFFFFF" w:sz="0"/>
              <w:left w:val="none" w:color="FFFFFF" w:sz="0"/>
              <w:bottom w:val="none" w:color="FFFFFF" w:sz="0"/>
              <w:right w:val="none" w:color="FFFFFF" w:sz="0"/>
            </w:tcBorders>
            <w:shd w:fill="C8102E" w:val="clear"/>
            <w:tcMar>
              <w:top w:type="dxa" w:w="120"/>
              <w:left w:type="dxa" w:w="200"/>
              <w:bottom w:type="dxa" w:w="120"/>
              <w:right w:type="dxa" w:w="120"/>
            </w:tcMar>
          </w:tcPr>
          <w:p>
            <w:r>
              <w:rPr>
                <w:rFonts w:ascii="Arial" w:cs="Arial" w:eastAsia="Arial" w:hAnsi="Arial"/>
                <w:i/>
                <w:iCs/>
                <w:sz w:val="22"/>
                <w:szCs w:val="22"/>
              </w:rPr>
              <w:t xml:space="preserve">This brief is your weapon. Study it. Walk into that room like McKinsey — not selling a service, but diagnosing a problem the client hasn't fully named yet.</w:t>
            </w:r>
          </w:p>
        </w:tc>
      </w:tr>
    </w:tbl>
    <w:p>
      <w:r>
        <w:br w:type="page"/>
      </w:r>
    </w:p>
    <w:p>
      <w:pPr>
        <w:pStyle w:val="Heading1"/>
        <w:pBdr>
          <w:bottom w:val="single" w:color="1B3A6B" w:sz="6"/>
        </w:pBdr>
        <w:spacing w:after="120" w:before="360"/>
      </w:pPr>
      <w:r>
        <w:rPr>
          <w:rFonts w:ascii="Arial" w:cs="Arial" w:eastAsia="Arial" w:hAnsi="Arial"/>
          <w:b/>
          <w:bCs/>
          <w:color w:val="1B3A6B"/>
          <w:sz w:val="28"/>
          <w:szCs w:val="28"/>
        </w:rPr>
        <w:t xml:space="preserve">1. Situation Assessment — What You're Walking Into</w:t>
      </w:r>
    </w:p>
    <w:p>
      <w:pPr>
        <w:spacing w:after="80" w:before="60"/>
      </w:pPr>
      <w:r>
        <w:rPr>
          <w:rFonts w:ascii="Arial" w:cs="Arial" w:eastAsia="Arial" w:hAnsi="Arial"/>
          <w:sz w:val="22"/>
          <w:szCs w:val="22"/>
        </w:rPr>
        <w:t xml:space="preserve">Before you utter a single word tomorrow, you must hold this reality in your mind: the client is not just asking you to build a website. He is asking you to replicate a category-defining platform backed by a media conglomerate (GovExec), staffed by 50+ engineers, and operating on years of proprietary data. Your job is not to say yes or no. Your job is to reframe the problem — and that reframe is your competitive advantage.</w:t>
      </w:r>
    </w:p>
    <w:p>
      <w:pPr>
        <w:spacing w:after="120" w:before="0"/>
      </w:pPr>
      <w:r>
        <w:t xml:space="preserve"/>
      </w:r>
    </w:p>
    <w:p>
      <w:pPr>
        <w:pStyle w:val="Heading2"/>
        <w:spacing w:after="80" w:before="240"/>
      </w:pPr>
      <w:r>
        <w:rPr>
          <w:rFonts w:ascii="Arial" w:cs="Arial" w:eastAsia="Arial" w:hAnsi="Arial"/>
          <w:b/>
          <w:bCs/>
          <w:color w:val="C8102E"/>
          <w:sz w:val="24"/>
          <w:szCs w:val="24"/>
        </w:rPr>
        <w:t xml:space="preserve">1.1 GovTribe — What It Actually Is</w:t>
      </w:r>
    </w:p>
    <w:p>
      <w:pPr>
        <w:spacing w:after="80" w:before="60"/>
      </w:pPr>
      <w:r>
        <w:rPr>
          <w:rFonts w:ascii="Arial" w:cs="Arial" w:eastAsia="Arial" w:hAnsi="Arial"/>
          <w:sz w:val="22"/>
          <w:szCs w:val="22"/>
        </w:rPr>
        <w:t xml:space="preserve">GovTribe is a B2B SaaS market intelligence platform for US government contractors (GovCon). Acquired by GovExec in August 2021, it serves as a single pane of glass aggregating fragmented federal, state, and local procurement data into an AI-powered CRM and search engine. Its parent company, GovExec, is a media conglomerate — this is critical positioning context.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Market Served</w:t>
            </w:r>
          </w:p>
        </w:tc>
        <w:tc>
          <w:tcPr>
            <w:tcW w:type="dxa" w:w="6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US Federal ($700B) + SLED ($1.5T) = $2.2T total procurement market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Core Modules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Universal Search, AI Analyst (MCP), Pipeline CRM (Kanban), Entity Profiler</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Data Sources</w:t>
            </w:r>
          </w:p>
        </w:tc>
        <w:tc>
          <w:tcPr>
            <w:tcW w:type="dxa" w:w="6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SAM.gov, FPDS-NG, USASpending.gov, Grants.gov + 1,000s of SLED portals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Search Engine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Elasticsearch cluster — full-text search across millions of government PDFs</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AI Layer</w:t>
            </w:r>
          </w:p>
        </w:tc>
        <w:tc>
          <w:tcPr>
            <w:tcW w:type="dxa" w:w="6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LLM-powered 'Let Me Help' overlay + MCP server exposing data to ChatGPT/Claude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Pricing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$1,350/yr (Launch) to $5,500/yr (Growth Plus) — accessible vs. Deltek GovWin</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Competitors</w:t>
            </w:r>
          </w:p>
        </w:tc>
        <w:tc>
          <w:tcPr>
            <w:tcW w:type="dxa" w:w="6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Deltek GovWin, Bloomberg Government (BGOV), USASpending.gov (free but ugly)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Key Constraint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access closed portals (GSA eBuy); only publicly available data is legal</w:t>
            </w:r>
          </w:p>
        </w:tc>
      </w:tr>
    </w:tbl>
    <w:p>
      <w:pPr>
        <w:spacing w:after="120" w:before="0"/>
      </w:pPr>
      <w:r>
        <w:t xml:space="preserve"/>
      </w:r>
    </w:p>
    <w:p>
      <w:pPr>
        <w:pStyle w:val="Heading2"/>
        <w:spacing w:after="80" w:before="240"/>
      </w:pPr>
      <w:r>
        <w:rPr>
          <w:rFonts w:ascii="Arial" w:cs="Arial" w:eastAsia="Arial" w:hAnsi="Arial"/>
          <w:b/>
          <w:bCs/>
          <w:color w:val="C8102E"/>
          <w:sz w:val="24"/>
          <w:szCs w:val="24"/>
        </w:rPr>
        <w:t xml:space="preserve">1.2 The Honest Complexity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TRUTH</w:t>
            </w:r>
          </w:p>
        </w:tc>
        <w:tc>
          <w:tcPr>
            <w:tcW w:type="dxa" w:w="8160"/>
            <w:tcBorders>
              <w:top w:val="none" w:color="FFFFFF" w:sz="0"/>
              <w:left w:val="none" w:color="FFFFFF" w:sz="0"/>
              <w:bottom w:val="none" w:color="FFFFFF" w:sz="0"/>
              <w:right w:val="none" w:color="FFFFFF" w:sz="0"/>
            </w:tcBorders>
            <w:shd w:fill="EEF2F7" w:val="clear"/>
            <w:tcMar>
              <w:top w:type="dxa" w:w="120"/>
              <w:left w:type="dxa" w:w="200"/>
              <w:bottom w:type="dxa" w:w="120"/>
              <w:right w:type="dxa" w:w="120"/>
            </w:tcMar>
          </w:tcPr>
          <w:p>
            <w:r>
              <w:rPr>
                <w:rFonts w:ascii="Arial" w:cs="Arial" w:eastAsia="Arial" w:hAnsi="Arial"/>
                <w:i/>
                <w:iCs/>
                <w:sz w:val="22"/>
                <w:szCs w:val="22"/>
              </w:rPr>
              <w:t xml:space="preserve">Replicating GovTribe 1-to-1 requires 4-6 senior engineers, $350K-$500K, and 12-18 months just to reach data parity. 40% of ongoing engineering resources go to maintaining broken scrapers. This is not a discouragement — it is your strategic opening.</w:t>
            </w:r>
          </w:p>
        </w:tc>
      </w:tr>
    </w:tbl>
    <w:p>
      <w:pPr>
        <w:spacing w:after="120" w:before="0"/>
      </w:pPr>
      <w:r>
        <w:t xml:space="preserve"/>
      </w:r>
    </w:p>
    <w:p>
      <w:pPr>
        <w:spacing w:after="80" w:before="60"/>
      </w:pPr>
      <w:r>
        <w:rPr>
          <w:rFonts w:ascii="Arial" w:cs="Arial" w:eastAsia="Arial" w:hAnsi="Arial"/>
          <w:sz w:val="22"/>
          <w:szCs w:val="22"/>
        </w:rPr>
        <w:t xml:space="preserve">The architecture has five distinct engineering layers, each a significant build in its own right:</w:t>
      </w:r>
    </w:p>
    <w:p>
      <w:pPr>
        <w:pStyle w:val="ListParagraph"/>
        <w:numPr>
          <w:ilvl w:val="0"/>
          <w:numId w:val="2"/>
        </w:numPr>
        <w:spacing w:after="40" w:before="40"/>
      </w:pPr>
      <w:r>
        <w:rPr>
          <w:rFonts w:ascii="Arial" w:cs="Arial" w:eastAsia="Arial" w:hAnsi="Arial"/>
          <w:sz w:val="22"/>
          <w:szCs w:val="22"/>
        </w:rPr>
        <w:t xml:space="preserve">Data Ingestion: Scrapy clusters, Airflow orchestration, Celery workers, Redis queuing — pulling from federal APIs and thousands of SLED portals hourly</w:t>
      </w:r>
    </w:p>
    <w:p>
      <w:pPr>
        <w:pStyle w:val="ListParagraph"/>
        <w:numPr>
          <w:ilvl w:val="0"/>
          <w:numId w:val="2"/>
        </w:numPr>
        <w:spacing w:after="40" w:before="40"/>
      </w:pPr>
      <w:r>
        <w:rPr>
          <w:rFonts w:ascii="Arial" w:cs="Arial" w:eastAsia="Arial" w:hAnsi="Arial"/>
          <w:sz w:val="22"/>
          <w:szCs w:val="22"/>
        </w:rPr>
        <w:t xml:space="preserve">Enrichment Engine: Apache Tika + Tesseract OCR converting government PDFs into searchable text, normalized into ISO 8601 format</w:t>
      </w:r>
    </w:p>
    <w:p>
      <w:pPr>
        <w:pStyle w:val="ListParagraph"/>
        <w:numPr>
          <w:ilvl w:val="0"/>
          <w:numId w:val="2"/>
        </w:numPr>
        <w:spacing w:after="40" w:before="40"/>
      </w:pPr>
      <w:r>
        <w:rPr>
          <w:rFonts w:ascii="Arial" w:cs="Arial" w:eastAsia="Arial" w:hAnsi="Arial"/>
          <w:sz w:val="22"/>
          <w:szCs w:val="22"/>
        </w:rPr>
        <w:t xml:space="preserve">Storage &amp; Index: PostgreSQL (relational CRM), Elasticsearch (full-text search), Qdrant (vector/semantic), S3/MinIO (raw document lake)</w:t>
      </w:r>
    </w:p>
    <w:p>
      <w:pPr>
        <w:pStyle w:val="ListParagraph"/>
        <w:numPr>
          <w:ilvl w:val="0"/>
          <w:numId w:val="2"/>
        </w:numPr>
        <w:spacing w:after="40" w:before="40"/>
      </w:pPr>
      <w:r>
        <w:rPr>
          <w:rFonts w:ascii="Arial" w:cs="Arial" w:eastAsia="Arial" w:hAnsi="Arial"/>
          <w:sz w:val="22"/>
          <w:szCs w:val="22"/>
        </w:rPr>
        <w:t xml:space="preserve">AI/MCP Layer: LangChain/LlamaIndex RAG pipelines, Claude/GPT-4o APIs, MCP server exposing all data to external AI agents</w:t>
      </w:r>
    </w:p>
    <w:p>
      <w:pPr>
        <w:pStyle w:val="ListParagraph"/>
        <w:numPr>
          <w:ilvl w:val="0"/>
          <w:numId w:val="2"/>
        </w:numPr>
        <w:spacing w:after="40" w:before="40"/>
      </w:pPr>
      <w:r>
        <w:rPr>
          <w:rFonts w:ascii="Arial" w:cs="Arial" w:eastAsia="Arial" w:hAnsi="Arial"/>
          <w:sz w:val="22"/>
          <w:szCs w:val="22"/>
        </w:rPr>
        <w:t xml:space="preserve">Application: NestJS REST/GraphQL backend, React/TypeScript/TailwindCSS frontend, Kubernetes microservices, multi-tenant RBAC</w:t>
      </w:r>
    </w:p>
    <w:p>
      <w:r>
        <w:br w:type="page"/>
      </w:r>
    </w:p>
    <w:p>
      <w:pPr>
        <w:pStyle w:val="Heading1"/>
        <w:pBdr>
          <w:bottom w:val="single" w:color="1B3A6B" w:sz="6"/>
        </w:pBdr>
        <w:spacing w:after="120" w:before="360"/>
      </w:pPr>
      <w:r>
        <w:rPr>
          <w:rFonts w:ascii="Arial" w:cs="Arial" w:eastAsia="Arial" w:hAnsi="Arial"/>
          <w:b/>
          <w:bCs/>
          <w:color w:val="1B3A6B"/>
          <w:sz w:val="28"/>
          <w:szCs w:val="28"/>
        </w:rPr>
        <w:t xml:space="preserve">2. Your Positioning — The Challenger Sale Reframe</w:t>
      </w:r>
    </w:p>
    <w:p>
      <w:pPr>
        <w:spacing w:after="80" w:before="60"/>
      </w:pPr>
      <w:r>
        <w:rPr>
          <w:rFonts w:ascii="Arial" w:cs="Arial" w:eastAsia="Arial" w:hAnsi="Arial"/>
          <w:sz w:val="22"/>
          <w:szCs w:val="22"/>
        </w:rPr>
        <w:t xml:space="preserve">Walk in as a McKinsey partner, not a software vendor. McKinsey does not ask 'what do you want built?' McKinsey says 'here is what you are actually facing, here is what we recommend, and here is why.' That is the Challenger Sale: you teach, you tailor, you take control of the conversation.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8102E"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YOUR THESIS</w:t>
            </w:r>
          </w:p>
        </w:tc>
        <w:tc>
          <w:tcPr>
            <w:tcW w:type="dxa" w:w="8160"/>
            <w:tcBorders>
              <w:top w:val="none" w:color="FFFFFF" w:sz="0"/>
              <w:left w:val="none" w:color="FFFFFF" w:sz="0"/>
              <w:bottom w:val="none" w:color="FFFFFF" w:sz="0"/>
              <w:right w:val="none" w:color="FFFFFF" w:sz="0"/>
            </w:tcBorders>
            <w:shd w:fill="EEF2F7" w:val="clear"/>
            <w:tcMar>
              <w:top w:type="dxa" w:w="120"/>
              <w:left w:type="dxa" w:w="200"/>
              <w:bottom w:type="dxa" w:w="120"/>
              <w:right w:type="dxa" w:w="120"/>
            </w:tcMar>
          </w:tcPr>
          <w:p>
            <w:r>
              <w:rPr>
                <w:rFonts w:ascii="Arial" w:cs="Arial" w:eastAsia="Arial" w:hAnsi="Arial"/>
                <w:i/>
                <w:iCs/>
                <w:sz w:val="22"/>
                <w:szCs w:val="22"/>
              </w:rPr>
              <w:t xml:space="preserve">The question is not 'can we build GovTribe?' The question is 'what is the fastest path to capturing a slice of a $2.2 trillion market, and what architecture maximises your ROI while minimising existential build risk?'</w:t>
            </w:r>
          </w:p>
        </w:tc>
      </w:tr>
    </w:tbl>
    <w:p>
      <w:pPr>
        <w:spacing w:after="120" w:before="0"/>
      </w:pPr>
      <w:r>
        <w:t xml:space="preserve"/>
      </w:r>
    </w:p>
    <w:p>
      <w:pPr>
        <w:pStyle w:val="Heading2"/>
        <w:spacing w:after="80" w:before="240"/>
      </w:pPr>
      <w:r>
        <w:rPr>
          <w:rFonts w:ascii="Arial" w:cs="Arial" w:eastAsia="Arial" w:hAnsi="Arial"/>
          <w:b/>
          <w:bCs/>
          <w:color w:val="C8102E"/>
          <w:sz w:val="24"/>
          <w:szCs w:val="24"/>
        </w:rPr>
        <w:t xml:space="preserve">2.1 The Three Paths Framework</w:t>
      </w:r>
    </w:p>
    <w:p>
      <w:pPr>
        <w:spacing w:after="80" w:before="60"/>
      </w:pPr>
      <w:r>
        <w:rPr>
          <w:rFonts w:ascii="Arial" w:cs="Arial" w:eastAsia="Arial" w:hAnsi="Arial"/>
          <w:sz w:val="22"/>
          <w:szCs w:val="22"/>
        </w:rPr>
        <w:t xml:space="preserve">Present the client with a structured decision tree. This demonstrates strategic depth, not just execution capability. It forces the client into a collaborative problem-solving mode where you are the expert guide.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 1 MCP Hybrid</w:t>
            </w:r>
          </w:p>
        </w:tc>
        <w:tc>
          <w:tcPr>
            <w:tcW w:type="dxa" w:w="2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 2 Native Build</w:t>
            </w:r>
          </w:p>
        </w:tc>
        <w:tc>
          <w:tcPr>
            <w:tcW w:type="dxa" w:w="2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Niche Domination</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What it is</w:t>
            </w:r>
          </w:p>
        </w:tc>
        <w:tc>
          <w:tcPr>
            <w:tcW w:type="dxa" w:w="252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Build UI on top of GovTribe's own MCP/API</w:t>
            </w:r>
          </w:p>
        </w:tc>
        <w:tc>
          <w:tcPr>
            <w:tcW w:type="dxa" w:w="252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Sovereign data engine: Kafka + Elasticsearch + Qdrant + Scrapy</w:t>
            </w:r>
          </w:p>
        </w:tc>
        <w:tc>
          <w:tcPr>
            <w:tcW w:type="dxa" w:w="252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Deep vertical play in one niche (e.g., DoD Cyber, SLED Construction)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Timeline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3.5 – 5 months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 – 18 months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 – 6 months</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CapEx</w:t>
            </w:r>
          </w:p>
        </w:tc>
        <w:tc>
          <w:tcPr>
            <w:tcW w:type="dxa" w:w="252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$80K – $120K</w:t>
            </w:r>
          </w:p>
        </w:tc>
        <w:tc>
          <w:tcPr>
            <w:tcW w:type="dxa" w:w="252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$350K – $500K+</w:t>
            </w:r>
          </w:p>
        </w:tc>
        <w:tc>
          <w:tcPr>
            <w:tcW w:type="dxa" w:w="252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$60K – $100K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Year 5 Revenue Potential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$5M – $10M ARR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$40M+ ARR (53.8% EBITDA)</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$3M – $8M ARR (high margin)</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Key Risk</w:t>
            </w:r>
          </w:p>
        </w:tc>
        <w:tc>
          <w:tcPr>
            <w:tcW w:type="dxa" w:w="252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Dependency on GovTribe API terms</w:t>
            </w:r>
          </w:p>
        </w:tc>
        <w:tc>
          <w:tcPr>
            <w:tcW w:type="dxa" w:w="252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Scraper maintenance + IP blocking + data parity lag</w:t>
            </w:r>
          </w:p>
        </w:tc>
        <w:tc>
          <w:tcPr>
            <w:tcW w:type="dxa" w:w="252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9"/>
                <w:szCs w:val="19"/>
              </w:rPr>
              <w:t xml:space="preserve">Narrow TAM, harder to expand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Our Recommendation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Start here — fastest to market, validate demand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Layer on after Phase 1 generates revenue to fund it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Viable if client wants focused dominance</w:t>
            </w:r>
          </w:p>
        </w:tc>
      </w:tr>
    </w:tbl>
    <w:p>
      <w:pPr>
        <w:spacing w:after="120" w:before="0"/>
      </w:pPr>
      <w:r>
        <w:t xml:space="preserve"/>
      </w:r>
    </w:p>
    <w:p>
      <w:pPr>
        <w:pStyle w:val="Heading2"/>
        <w:spacing w:after="80" w:before="240"/>
      </w:pPr>
      <w:r>
        <w:rPr>
          <w:rFonts w:ascii="Arial" w:cs="Arial" w:eastAsia="Arial" w:hAnsi="Arial"/>
          <w:b/>
          <w:bCs/>
          <w:color w:val="C8102E"/>
          <w:sz w:val="24"/>
          <w:szCs w:val="24"/>
        </w:rPr>
        <w:t xml:space="preserve">2.2 DigiFusion's Unique Differentiator</w:t>
      </w:r>
    </w:p>
    <w:p>
      <w:pPr>
        <w:spacing w:after="80" w:before="60"/>
      </w:pPr>
      <w:r>
        <w:rPr>
          <w:rFonts w:ascii="Arial" w:cs="Arial" w:eastAsia="Arial" w:hAnsi="Arial"/>
          <w:sz w:val="22"/>
          <w:szCs w:val="22"/>
        </w:rPr>
        <w:t xml:space="preserve">This is your Challenger insight — the thing the client does not know and cannot find anywhere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E38"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UNFAIR ADVANTAGE</w:t>
            </w:r>
          </w:p>
        </w:tc>
        <w:tc>
          <w:tcPr>
            <w:tcW w:type="dxa" w:w="8160"/>
            <w:tcBorders>
              <w:top w:val="none" w:color="FFFFFF" w:sz="0"/>
              <w:left w:val="none" w:color="FFFFFF" w:sz="0"/>
              <w:bottom w:val="none" w:color="FFFFFF" w:sz="0"/>
              <w:right w:val="none" w:color="FFFFFF" w:sz="0"/>
            </w:tcBorders>
            <w:shd w:fill="EEF2F7" w:val="clear"/>
            <w:tcMar>
              <w:top w:type="dxa" w:w="120"/>
              <w:left w:type="dxa" w:w="200"/>
              <w:bottom w:type="dxa" w:w="120"/>
              <w:right w:type="dxa" w:w="120"/>
            </w:tcMar>
          </w:tcPr>
          <w:p>
            <w:r>
              <w:rPr>
                <w:rFonts w:ascii="Arial" w:cs="Arial" w:eastAsia="Arial" w:hAnsi="Arial"/>
                <w:i/>
                <w:iCs/>
                <w:sz w:val="22"/>
                <w:szCs w:val="22"/>
              </w:rPr>
              <w:t xml:space="preserve">DigiFusion does not build software with engineers. We build software with an agentic AI engineering model — a coordinated system of specialised AI agents under senior human oversight. This compresses standard 18-month builds to 14-16 weeks. The client is not buying a dev shop. He is buying a new category of delivery.</w:t>
            </w:r>
          </w:p>
        </w:tc>
      </w:tr>
    </w:tbl>
    <w:p>
      <w:pPr>
        <w:spacing w:after="120" w:before="0"/>
      </w:pPr>
      <w:r>
        <w:t xml:space="preserve"/>
      </w:r>
    </w:p>
    <w:p>
      <w:pPr>
        <w:spacing w:after="80" w:before="60"/>
      </w:pPr>
      <w:r>
        <w:rPr>
          <w:rFonts w:ascii="Arial" w:cs="Arial" w:eastAsia="Arial" w:hAnsi="Arial"/>
          <w:sz w:val="22"/>
          <w:szCs w:val="22"/>
        </w:rPr>
        <w:t xml:space="preserve">The agentic build model means:</w:t>
      </w:r>
    </w:p>
    <w:p>
      <w:pPr>
        <w:pStyle w:val="ListParagraph"/>
        <w:numPr>
          <w:ilvl w:val="0"/>
          <w:numId w:val="2"/>
        </w:numPr>
        <w:spacing w:after="40" w:before="40"/>
      </w:pPr>
      <w:r>
        <w:rPr>
          <w:rFonts w:ascii="Arial" w:cs="Arial" w:eastAsia="Arial" w:hAnsi="Arial"/>
          <w:sz w:val="22"/>
          <w:szCs w:val="22"/>
        </w:rPr>
        <w:t xml:space="preserve">Schema Agent: Writes SQL migrations, Elasticsearch mappings, and data schemas autonomously</w:t>
      </w:r>
    </w:p>
    <w:p>
      <w:pPr>
        <w:pStyle w:val="ListParagraph"/>
        <w:numPr>
          <w:ilvl w:val="0"/>
          <w:numId w:val="2"/>
        </w:numPr>
        <w:spacing w:after="40" w:before="40"/>
      </w:pPr>
      <w:r>
        <w:rPr>
          <w:rFonts w:ascii="Arial" w:cs="Arial" w:eastAsia="Arial" w:hAnsi="Arial"/>
          <w:sz w:val="22"/>
          <w:szCs w:val="22"/>
        </w:rPr>
        <w:t xml:space="preserve">Pipeline Agent: Codes Python extraction routines for SLED portals — adapts when site layouts change</w:t>
      </w:r>
    </w:p>
    <w:p>
      <w:pPr>
        <w:pStyle w:val="ListParagraph"/>
        <w:numPr>
          <w:ilvl w:val="0"/>
          <w:numId w:val="2"/>
        </w:numPr>
        <w:spacing w:after="40" w:before="40"/>
      </w:pPr>
      <w:r>
        <w:rPr>
          <w:rFonts w:ascii="Arial" w:cs="Arial" w:eastAsia="Arial" w:hAnsi="Arial"/>
          <w:sz w:val="22"/>
          <w:szCs w:val="22"/>
        </w:rPr>
        <w:t xml:space="preserve">Feature Agent: Builds React interfaces, wires API controllers, manages client-side state</w:t>
      </w:r>
    </w:p>
    <w:p>
      <w:pPr>
        <w:pStyle w:val="ListParagraph"/>
        <w:numPr>
          <w:ilvl w:val="0"/>
          <w:numId w:val="2"/>
        </w:numPr>
        <w:spacing w:after="40" w:before="40"/>
      </w:pPr>
      <w:r>
        <w:rPr>
          <w:rFonts w:ascii="Arial" w:cs="Arial" w:eastAsia="Arial" w:hAnsi="Arial"/>
          <w:sz w:val="22"/>
          <w:szCs w:val="22"/>
        </w:rPr>
        <w:t xml:space="preserve">Human Conductor: You — reviewing commits, managing merge gates, directing the symphony</w:t>
      </w:r>
    </w:p>
    <w:p>
      <w:pPr>
        <w:spacing w:after="80" w:before="60"/>
      </w:pPr>
      <w:r>
        <w:rPr>
          <w:rFonts w:ascii="Arial" w:cs="Arial" w:eastAsia="Arial" w:hAnsi="Arial"/>
          <w:sz w:val="22"/>
          <w:szCs w:val="22"/>
        </w:rPr>
        <w:t xml:space="preserve">No other firm can credibly offer this. It is DigiFusion's trade secret and your room-closing argument.</w:t>
      </w:r>
    </w:p>
    <w:p>
      <w:r>
        <w:br w:type="page"/>
      </w:r>
    </w:p>
    <w:p>
      <w:pPr>
        <w:pStyle w:val="Heading1"/>
        <w:pBdr>
          <w:bottom w:val="single" w:color="1B3A6B" w:sz="6"/>
        </w:pBdr>
        <w:spacing w:after="120" w:before="360"/>
      </w:pPr>
      <w:r>
        <w:rPr>
          <w:rFonts w:ascii="Arial" w:cs="Arial" w:eastAsia="Arial" w:hAnsi="Arial"/>
          <w:b/>
          <w:bCs/>
          <w:color w:val="1B3A6B"/>
          <w:sz w:val="28"/>
          <w:szCs w:val="28"/>
        </w:rPr>
        <w:t xml:space="preserve">3. The Diagnostic Brief — Questions to Ask</w:t>
      </w:r>
    </w:p>
    <w:p>
      <w:pPr>
        <w:spacing w:after="80" w:before="60"/>
      </w:pPr>
      <w:r>
        <w:rPr>
          <w:rFonts w:ascii="Arial" w:cs="Arial" w:eastAsia="Arial" w:hAnsi="Arial"/>
          <w:sz w:val="22"/>
          <w:szCs w:val="22"/>
        </w:rPr>
        <w:t xml:space="preserve">A McKinsey partner never 'pitches' in the first meeting. They diagnose. The goal of your questions is threefold: understand the client's actual situation, identify the real decision criteria, and surface latent fears or constraints that the client hasn't articulated yet. Use SPIN sequencing: Situation → Problem → Implication → Need-Payoff.</w:t>
      </w:r>
    </w:p>
    <w:p>
      <w:pPr>
        <w:spacing w:after="120" w:before="0"/>
      </w:pPr>
      <w:r>
        <w:t xml:space="preserve"/>
      </w:r>
    </w:p>
    <w:p>
      <w:pPr>
        <w:pStyle w:val="Heading2"/>
        <w:spacing w:after="80" w:before="240"/>
      </w:pPr>
      <w:r>
        <w:rPr>
          <w:rFonts w:ascii="Arial" w:cs="Arial" w:eastAsia="Arial" w:hAnsi="Arial"/>
          <w:b/>
          <w:bCs/>
          <w:color w:val="C8102E"/>
          <w:sz w:val="24"/>
          <w:szCs w:val="24"/>
        </w:rPr>
        <w:t xml:space="preserve">3.1 Situation Questions — Establish the Baseline</w:t>
      </w:r>
    </w:p>
    <w:p>
      <w:pPr>
        <w:pStyle w:val="ListParagraph"/>
        <w:numPr>
          <w:ilvl w:val="0"/>
          <w:numId w:val="2"/>
        </w:numPr>
        <w:spacing w:after="40" w:before="40"/>
      </w:pPr>
      <w:r>
        <w:rPr>
          <w:rFonts w:ascii="Arial" w:cs="Arial" w:eastAsia="Arial" w:hAnsi="Arial"/>
          <w:sz w:val="22"/>
          <w:szCs w:val="22"/>
        </w:rPr>
        <w:t xml:space="preserve">Tell me about the business you're building around this platform. Is this a SaaS product you intend to sell, or an internal tool for your own GovCon operations?</w:t>
      </w:r>
    </w:p>
    <w:p>
      <w:pPr>
        <w:pStyle w:val="ListParagraph"/>
        <w:numPr>
          <w:ilvl w:val="0"/>
          <w:numId w:val="2"/>
        </w:numPr>
        <w:spacing w:after="40" w:before="40"/>
      </w:pPr>
      <w:r>
        <w:rPr>
          <w:rFonts w:ascii="Arial" w:cs="Arial" w:eastAsia="Arial" w:hAnsi="Arial"/>
          <w:sz w:val="22"/>
          <w:szCs w:val="22"/>
        </w:rPr>
        <w:t xml:space="preserve">What is your current relationship with the federal contracting space — are you already an active contractor, or is this a new market entry?</w:t>
      </w:r>
    </w:p>
    <w:p>
      <w:pPr>
        <w:pStyle w:val="ListParagraph"/>
        <w:numPr>
          <w:ilvl w:val="0"/>
          <w:numId w:val="2"/>
        </w:numPr>
        <w:spacing w:after="40" w:before="40"/>
      </w:pPr>
      <w:r>
        <w:rPr>
          <w:rFonts w:ascii="Arial" w:cs="Arial" w:eastAsia="Arial" w:hAnsi="Arial"/>
          <w:sz w:val="22"/>
          <w:szCs w:val="22"/>
        </w:rPr>
        <w:t xml:space="preserve">Do you already have paying customers lined up, or are we working toward a market validation first?</w:t>
      </w:r>
    </w:p>
    <w:p>
      <w:pPr>
        <w:pStyle w:val="ListParagraph"/>
        <w:numPr>
          <w:ilvl w:val="0"/>
          <w:numId w:val="2"/>
        </w:numPr>
        <w:spacing w:after="40" w:before="40"/>
      </w:pPr>
      <w:r>
        <w:rPr>
          <w:rFonts w:ascii="Arial" w:cs="Arial" w:eastAsia="Arial" w:hAnsi="Arial"/>
          <w:sz w:val="22"/>
          <w:szCs w:val="22"/>
        </w:rPr>
        <w:t xml:space="preserve">What is your funding situation — is this bootstrapped, VC-backed, or do you have a specific budget envelope for Phase 1?</w:t>
      </w:r>
    </w:p>
    <w:p>
      <w:pPr>
        <w:pStyle w:val="ListParagraph"/>
        <w:numPr>
          <w:ilvl w:val="0"/>
          <w:numId w:val="2"/>
        </w:numPr>
        <w:spacing w:after="40" w:before="40"/>
      </w:pPr>
      <w:r>
        <w:rPr>
          <w:rFonts w:ascii="Arial" w:cs="Arial" w:eastAsia="Arial" w:hAnsi="Arial"/>
          <w:sz w:val="22"/>
          <w:szCs w:val="22"/>
        </w:rPr>
        <w:t xml:space="preserve">Have you had any previous conversations with GovTribe or GovExec about licensing, API access, or partnership?</w:t>
      </w:r>
    </w:p>
    <w:p>
      <w:pPr>
        <w:spacing w:after="120" w:before="0"/>
      </w:pPr>
      <w:r>
        <w:t xml:space="preserve"/>
      </w:r>
    </w:p>
    <w:p>
      <w:pPr>
        <w:pStyle w:val="Heading2"/>
        <w:spacing w:after="80" w:before="240"/>
      </w:pPr>
      <w:r>
        <w:rPr>
          <w:rFonts w:ascii="Arial" w:cs="Arial" w:eastAsia="Arial" w:hAnsi="Arial"/>
          <w:b/>
          <w:bCs/>
          <w:color w:val="C8102E"/>
          <w:sz w:val="24"/>
          <w:szCs w:val="24"/>
        </w:rPr>
        <w:t xml:space="preserve">3.2 Problem Questions — Surface the Pain</w:t>
      </w:r>
    </w:p>
    <w:p>
      <w:pPr>
        <w:pStyle w:val="ListParagraph"/>
        <w:numPr>
          <w:ilvl w:val="0"/>
          <w:numId w:val="2"/>
        </w:numPr>
        <w:spacing w:after="40" w:before="40"/>
      </w:pPr>
      <w:r>
        <w:rPr>
          <w:rFonts w:ascii="Arial" w:cs="Arial" w:eastAsia="Arial" w:hAnsi="Arial"/>
          <w:sz w:val="22"/>
          <w:szCs w:val="22"/>
        </w:rPr>
        <w:t xml:space="preserve">What specifically frustrated you about the existing tools — GovTribe, Deltek GovWin, Bloomberg Government? What do they get wrong that you believe you can fix?</w:t>
      </w:r>
    </w:p>
    <w:p>
      <w:pPr>
        <w:pStyle w:val="ListParagraph"/>
        <w:numPr>
          <w:ilvl w:val="0"/>
          <w:numId w:val="2"/>
        </w:numPr>
        <w:spacing w:after="40" w:before="40"/>
      </w:pPr>
      <w:r>
        <w:rPr>
          <w:rFonts w:ascii="Arial" w:cs="Arial" w:eastAsia="Arial" w:hAnsi="Arial"/>
          <w:sz w:val="22"/>
          <w:szCs w:val="22"/>
        </w:rPr>
        <w:t xml:space="preserve">When you say 'recreate GovTribe,' what does that mean to you — feature parity, better UX, lower price point, or something they don't do at all?</w:t>
      </w:r>
    </w:p>
    <w:p>
      <w:pPr>
        <w:pStyle w:val="ListParagraph"/>
        <w:numPr>
          <w:ilvl w:val="0"/>
          <w:numId w:val="2"/>
        </w:numPr>
        <w:spacing w:after="40" w:before="40"/>
      </w:pPr>
      <w:r>
        <w:rPr>
          <w:rFonts w:ascii="Arial" w:cs="Arial" w:eastAsia="Arial" w:hAnsi="Arial"/>
          <w:sz w:val="22"/>
          <w:szCs w:val="22"/>
        </w:rPr>
        <w:t xml:space="preserve">What is your primary differentiation hypothesis — why would a government contractor choose your platform over GovTribe tomorrow?</w:t>
      </w:r>
    </w:p>
    <w:p>
      <w:pPr>
        <w:pStyle w:val="ListParagraph"/>
        <w:numPr>
          <w:ilvl w:val="0"/>
          <w:numId w:val="2"/>
        </w:numPr>
        <w:spacing w:after="40" w:before="40"/>
      </w:pPr>
      <w:r>
        <w:rPr>
          <w:rFonts w:ascii="Arial" w:cs="Arial" w:eastAsia="Arial" w:hAnsi="Arial"/>
          <w:sz w:val="22"/>
          <w:szCs w:val="22"/>
        </w:rPr>
        <w:t xml:space="preserve">Have you done any customer discovery with actual GovCon firms? What were the top three complaints they expressed about current tools?</w:t>
      </w:r>
    </w:p>
    <w:p>
      <w:pPr>
        <w:spacing w:after="120" w:before="0"/>
      </w:pPr>
      <w:r>
        <w:t xml:space="preserve"/>
      </w:r>
    </w:p>
    <w:p>
      <w:pPr>
        <w:pStyle w:val="Heading2"/>
        <w:spacing w:after="80" w:before="240"/>
      </w:pPr>
      <w:r>
        <w:rPr>
          <w:rFonts w:ascii="Arial" w:cs="Arial" w:eastAsia="Arial" w:hAnsi="Arial"/>
          <w:b/>
          <w:bCs/>
          <w:color w:val="C8102E"/>
          <w:sz w:val="24"/>
          <w:szCs w:val="24"/>
        </w:rPr>
        <w:t xml:space="preserve">3.3 Implication Questions — Deepen the Stakes</w:t>
      </w:r>
    </w:p>
    <w:p>
      <w:pPr>
        <w:pStyle w:val="ListParagraph"/>
        <w:numPr>
          <w:ilvl w:val="0"/>
          <w:numId w:val="2"/>
        </w:numPr>
        <w:spacing w:after="40" w:before="40"/>
      </w:pPr>
      <w:r>
        <w:rPr>
          <w:rFonts w:ascii="Arial" w:cs="Arial" w:eastAsia="Arial" w:hAnsi="Arial"/>
          <w:sz w:val="22"/>
          <w:szCs w:val="22"/>
        </w:rPr>
        <w:t xml:space="preserve">If you launched in 12 months with feature parity to GovTribe, but GovTribe has already moved to a new AI capability — how does that change your competitive position?</w:t>
      </w:r>
    </w:p>
    <w:p>
      <w:pPr>
        <w:pStyle w:val="ListParagraph"/>
        <w:numPr>
          <w:ilvl w:val="0"/>
          <w:numId w:val="2"/>
        </w:numPr>
        <w:spacing w:after="40" w:before="40"/>
      </w:pPr>
      <w:r>
        <w:rPr>
          <w:rFonts w:ascii="Arial" w:cs="Arial" w:eastAsia="Arial" w:hAnsi="Arial"/>
          <w:sz w:val="22"/>
          <w:szCs w:val="22"/>
        </w:rPr>
        <w:t xml:space="preserve">The SLED data challenge is significant — thousands of state and local portals, each with unique structures. What is your tolerance for a system that might miss 20-30% of SLED opportunities in Year 1?</w:t>
      </w:r>
    </w:p>
    <w:p>
      <w:pPr>
        <w:pStyle w:val="ListParagraph"/>
        <w:numPr>
          <w:ilvl w:val="0"/>
          <w:numId w:val="2"/>
        </w:numPr>
        <w:spacing w:after="40" w:before="40"/>
      </w:pPr>
      <w:r>
        <w:rPr>
          <w:rFonts w:ascii="Arial" w:cs="Arial" w:eastAsia="Arial" w:hAnsi="Arial"/>
          <w:sz w:val="22"/>
          <w:szCs w:val="22"/>
        </w:rPr>
        <w:t xml:space="preserve">If scraper maintenance consumes 40% of your engineering budget — a realistic estimate based on industry data — does your current funding model accommodate that ongoing cost?</w:t>
      </w:r>
    </w:p>
    <w:p>
      <w:pPr>
        <w:pStyle w:val="ListParagraph"/>
        <w:numPr>
          <w:ilvl w:val="0"/>
          <w:numId w:val="2"/>
        </w:numPr>
        <w:spacing w:after="40" w:before="40"/>
      </w:pPr>
      <w:r>
        <w:rPr>
          <w:rFonts w:ascii="Arial" w:cs="Arial" w:eastAsia="Arial" w:hAnsi="Arial"/>
          <w:sz w:val="22"/>
          <w:szCs w:val="22"/>
        </w:rPr>
        <w:t xml:space="preserve">What happens to your roadmap if GovTribe changes its API terms in Year 2 of a hybrid model? Is that a risk you've stress-tested?</w:t>
      </w:r>
    </w:p>
    <w:p>
      <w:pPr>
        <w:spacing w:after="120" w:before="0"/>
      </w:pPr>
      <w:r>
        <w:t xml:space="preserve"/>
      </w:r>
    </w:p>
    <w:p>
      <w:pPr>
        <w:pStyle w:val="Heading2"/>
        <w:spacing w:after="80" w:before="240"/>
      </w:pPr>
      <w:r>
        <w:rPr>
          <w:rFonts w:ascii="Arial" w:cs="Arial" w:eastAsia="Arial" w:hAnsi="Arial"/>
          <w:b/>
          <w:bCs/>
          <w:color w:val="C8102E"/>
          <w:sz w:val="24"/>
          <w:szCs w:val="24"/>
        </w:rPr>
        <w:t xml:space="preserve">3.4 Need-Payoff Questions — Build Toward Your Recommendation</w:t>
      </w:r>
    </w:p>
    <w:p>
      <w:pPr>
        <w:pStyle w:val="ListParagraph"/>
        <w:numPr>
          <w:ilvl w:val="0"/>
          <w:numId w:val="2"/>
        </w:numPr>
        <w:spacing w:after="40" w:before="40"/>
      </w:pPr>
      <w:r>
        <w:rPr>
          <w:rFonts w:ascii="Arial" w:cs="Arial" w:eastAsia="Arial" w:hAnsi="Arial"/>
          <w:sz w:val="22"/>
          <w:szCs w:val="22"/>
        </w:rPr>
        <w:t xml:space="preserve">If we could get you to market in 14-16 weeks with a fully functional MVP covering the top 80% of GovTribe's core use cases — at a third of the cost — how would that change your fundraising conversation?</w:t>
      </w:r>
    </w:p>
    <w:p>
      <w:pPr>
        <w:pStyle w:val="ListParagraph"/>
        <w:numPr>
          <w:ilvl w:val="0"/>
          <w:numId w:val="2"/>
        </w:numPr>
        <w:spacing w:after="40" w:before="40"/>
      </w:pPr>
      <w:r>
        <w:rPr>
          <w:rFonts w:ascii="Arial" w:cs="Arial" w:eastAsia="Arial" w:hAnsi="Arial"/>
          <w:sz w:val="22"/>
          <w:szCs w:val="22"/>
        </w:rPr>
        <w:t xml:space="preserve">Would it be valuable to have an AI-native platform that doesn't just show data, but actively tells your users 'here are the three opportunities you should be pursuing this week and why' — something GovTribe doesn't do today?</w:t>
      </w:r>
    </w:p>
    <w:p>
      <w:pPr>
        <w:pStyle w:val="ListParagraph"/>
        <w:numPr>
          <w:ilvl w:val="0"/>
          <w:numId w:val="2"/>
        </w:numPr>
        <w:spacing w:after="40" w:before="40"/>
      </w:pPr>
      <w:r>
        <w:rPr>
          <w:rFonts w:ascii="Arial" w:cs="Arial" w:eastAsia="Arial" w:hAnsi="Arial"/>
          <w:sz w:val="22"/>
          <w:szCs w:val="22"/>
        </w:rPr>
        <w:t xml:space="preserve">What would it be worth to your business to own your data infrastructure independently — no API dependency, no licensing fees, full control of your competitive moat?</w:t>
      </w:r>
    </w:p>
    <w:p>
      <w:pPr>
        <w:pStyle w:val="ListParagraph"/>
        <w:numPr>
          <w:ilvl w:val="0"/>
          <w:numId w:val="2"/>
        </w:numPr>
        <w:spacing w:after="40" w:before="40"/>
      </w:pPr>
      <w:r>
        <w:rPr>
          <w:rFonts w:ascii="Arial" w:cs="Arial" w:eastAsia="Arial" w:hAnsi="Arial"/>
          <w:sz w:val="22"/>
          <w:szCs w:val="22"/>
        </w:rPr>
        <w:t xml:space="preserve">If we could architect this so Phase 1 generates revenue that funds Phase 2 natively, removing the need for external capital for the full build — is that a model that works for your situation?</w:t>
      </w:r>
    </w:p>
    <w:p>
      <w:pPr>
        <w:spacing w:after="120" w:before="0"/>
      </w:pPr>
      <w:r>
        <w:t xml:space="preserve"/>
      </w:r>
    </w:p>
    <w:p>
      <w:pPr>
        <w:pStyle w:val="Heading2"/>
        <w:spacing w:after="80" w:before="240"/>
      </w:pPr>
      <w:r>
        <w:rPr>
          <w:rFonts w:ascii="Arial" w:cs="Arial" w:eastAsia="Arial" w:hAnsi="Arial"/>
          <w:b/>
          <w:bCs/>
          <w:color w:val="C8102E"/>
          <w:sz w:val="24"/>
          <w:szCs w:val="24"/>
        </w:rPr>
        <w:t xml:space="preserve">3.5 Technical &amp; Commercial Qualification</w:t>
      </w:r>
    </w:p>
    <w:p>
      <w:pPr>
        <w:pStyle w:val="ListParagraph"/>
        <w:numPr>
          <w:ilvl w:val="0"/>
          <w:numId w:val="2"/>
        </w:numPr>
        <w:spacing w:after="40" w:before="40"/>
      </w:pPr>
      <w:r>
        <w:rPr>
          <w:rFonts w:ascii="Arial" w:cs="Arial" w:eastAsia="Arial" w:hAnsi="Arial"/>
          <w:sz w:val="22"/>
          <w:szCs w:val="22"/>
        </w:rPr>
        <w:t xml:space="preserve">What tech decisions have already been made, if any — cloud provider preference, language choices, existing infrastructure?</w:t>
      </w:r>
    </w:p>
    <w:p>
      <w:pPr>
        <w:pStyle w:val="ListParagraph"/>
        <w:numPr>
          <w:ilvl w:val="0"/>
          <w:numId w:val="2"/>
        </w:numPr>
        <w:spacing w:after="40" w:before="40"/>
      </w:pPr>
      <w:r>
        <w:rPr>
          <w:rFonts w:ascii="Arial" w:cs="Arial" w:eastAsia="Arial" w:hAnsi="Arial"/>
          <w:sz w:val="22"/>
          <w:szCs w:val="22"/>
        </w:rPr>
        <w:t xml:space="preserve">Do you have a CTO or lead technical partner on your side, or are you looking for DigiFusion to be the full technical leadership for this engagement?</w:t>
      </w:r>
    </w:p>
    <w:p>
      <w:pPr>
        <w:pStyle w:val="ListParagraph"/>
        <w:numPr>
          <w:ilvl w:val="0"/>
          <w:numId w:val="2"/>
        </w:numPr>
        <w:spacing w:after="40" w:before="40"/>
      </w:pPr>
      <w:r>
        <w:rPr>
          <w:rFonts w:ascii="Arial" w:cs="Arial" w:eastAsia="Arial" w:hAnsi="Arial"/>
          <w:sz w:val="22"/>
          <w:szCs w:val="22"/>
        </w:rPr>
        <w:t xml:space="preserve">What does success look like at 90 days? At 12 months? At Year 3?</w:t>
      </w:r>
    </w:p>
    <w:p>
      <w:pPr>
        <w:pStyle w:val="ListParagraph"/>
        <w:numPr>
          <w:ilvl w:val="0"/>
          <w:numId w:val="2"/>
        </w:numPr>
        <w:spacing w:after="40" w:before="40"/>
      </w:pPr>
      <w:r>
        <w:rPr>
          <w:rFonts w:ascii="Arial" w:cs="Arial" w:eastAsia="Arial" w:hAnsi="Arial"/>
          <w:sz w:val="22"/>
          <w:szCs w:val="22"/>
        </w:rPr>
        <w:t xml:space="preserve">Who else is involved in the buying decision — is it just you, or are there other stakeholders we need to align?</w:t>
      </w:r>
    </w:p>
    <w:p>
      <w:r>
        <w:br w:type="page"/>
      </w:r>
    </w:p>
    <w:p>
      <w:pPr>
        <w:pStyle w:val="Heading1"/>
        <w:pBdr>
          <w:bottom w:val="single" w:color="1B3A6B" w:sz="6"/>
        </w:pBdr>
        <w:spacing w:after="120" w:before="360"/>
      </w:pPr>
      <w:r>
        <w:rPr>
          <w:rFonts w:ascii="Arial" w:cs="Arial" w:eastAsia="Arial" w:hAnsi="Arial"/>
          <w:b/>
          <w:bCs/>
          <w:color w:val="1B3A6B"/>
          <w:sz w:val="28"/>
          <w:szCs w:val="28"/>
        </w:rPr>
        <w:t xml:space="preserve">4. The Impression Strategy — How to Command the Room</w:t>
      </w:r>
    </w:p>
    <w:p>
      <w:pPr>
        <w:pStyle w:val="Heading2"/>
        <w:spacing w:after="80" w:before="240"/>
      </w:pPr>
      <w:r>
        <w:rPr>
          <w:rFonts w:ascii="Arial" w:cs="Arial" w:eastAsia="Arial" w:hAnsi="Arial"/>
          <w:b/>
          <w:bCs/>
          <w:color w:val="C8102E"/>
          <w:sz w:val="24"/>
          <w:szCs w:val="24"/>
        </w:rPr>
        <w:t xml:space="preserve">4.1 Open With Insight, Not a Pitch</w:t>
      </w:r>
    </w:p>
    <w:p>
      <w:pPr>
        <w:spacing w:after="80" w:before="60"/>
      </w:pPr>
      <w:r>
        <w:rPr>
          <w:rFonts w:ascii="Arial" w:cs="Arial" w:eastAsia="Arial" w:hAnsi="Arial"/>
          <w:sz w:val="22"/>
          <w:szCs w:val="22"/>
        </w:rPr>
        <w:t xml:space="preserve">Do not open with 'here's what we do.' Open with a provocation that demonstrates you have done work they haven't: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B8860B"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OPENING LINE</w:t>
            </w:r>
          </w:p>
        </w:tc>
        <w:tc>
          <w:tcPr>
            <w:tcW w:type="dxa" w:w="8160"/>
            <w:tcBorders>
              <w:top w:val="none" w:color="FFFFFF" w:sz="0"/>
              <w:left w:val="none" w:color="FFFFFF" w:sz="0"/>
              <w:bottom w:val="none" w:color="FFFFFF" w:sz="0"/>
              <w:right w:val="none" w:color="FFFFFF" w:sz="0"/>
            </w:tcBorders>
            <w:shd w:fill="FFF8E7" w:val="clear"/>
            <w:tcMar>
              <w:top w:type="dxa" w:w="120"/>
              <w:left w:type="dxa" w:w="200"/>
              <w:bottom w:type="dxa" w:w="120"/>
              <w:right w:type="dxa" w:w="120"/>
            </w:tcMar>
          </w:tcPr>
          <w:p>
            <w:r>
              <w:rPr>
                <w:rFonts w:ascii="Arial" w:cs="Arial" w:eastAsia="Arial" w:hAnsi="Arial"/>
                <w:i/>
                <w:iCs/>
                <w:sz w:val="22"/>
                <w:szCs w:val="22"/>
              </w:rPr>
              <w:t xml:space="preserve">"Before we get into what you want to build, I want to share something important we found in our pre-meeting analysis. GovTribe's parent company generated over $50M in revenue last year — but their real moat isn't the software. It's 7 years of normalised, deduplicated government procurement data. That's what we need to talk about."</w:t>
            </w:r>
          </w:p>
        </w:tc>
      </w:tr>
    </w:tbl>
    <w:p>
      <w:pPr>
        <w:spacing w:after="120" w:before="0"/>
      </w:pPr>
      <w:r>
        <w:t xml:space="preserve"/>
      </w:r>
    </w:p>
    <w:p>
      <w:pPr>
        <w:spacing w:after="80" w:before="60"/>
      </w:pPr>
      <w:r>
        <w:rPr>
          <w:rFonts w:ascii="Arial" w:cs="Arial" w:eastAsia="Arial" w:hAnsi="Arial"/>
          <w:sz w:val="22"/>
          <w:szCs w:val="22"/>
        </w:rPr>
        <w:t xml:space="preserve">This immediately signals: you are not here to take an order. You are here to think alongside them at the highest level.</w:t>
      </w:r>
    </w:p>
    <w:p>
      <w:pPr>
        <w:spacing w:after="120" w:before="0"/>
      </w:pPr>
      <w:r>
        <w:t xml:space="preserve"/>
      </w:r>
    </w:p>
    <w:p>
      <w:pPr>
        <w:pStyle w:val="Heading2"/>
        <w:spacing w:after="80" w:before="240"/>
      </w:pPr>
      <w:r>
        <w:rPr>
          <w:rFonts w:ascii="Arial" w:cs="Arial" w:eastAsia="Arial" w:hAnsi="Arial"/>
          <w:b/>
          <w:bCs/>
          <w:color w:val="C8102E"/>
          <w:sz w:val="24"/>
          <w:szCs w:val="24"/>
        </w:rPr>
        <w:t xml:space="preserve">4.2 Show the Architecture — Literally</w:t>
      </w:r>
    </w:p>
    <w:p>
      <w:pPr>
        <w:spacing w:after="80" w:before="60"/>
      </w:pPr>
      <w:r>
        <w:rPr>
          <w:rFonts w:ascii="Arial" w:cs="Arial" w:eastAsia="Arial" w:hAnsi="Arial"/>
          <w:sz w:val="22"/>
          <w:szCs w:val="22"/>
        </w:rPr>
        <w:t xml:space="preserve">Bring a one-page system diagram of the OmniCon architecture (from the PRD). Walk him through it layer by layer. Most clients have never seen their own product requirement broken down at this level. The diagram itself is a credibility signal — it shows you have already done architecture work before the engagement begins.</w:t>
      </w:r>
    </w:p>
    <w:p>
      <w:pPr>
        <w:pStyle w:val="ListParagraph"/>
        <w:numPr>
          <w:ilvl w:val="0"/>
          <w:numId w:val="2"/>
        </w:numPr>
        <w:spacing w:after="40" w:before="40"/>
      </w:pPr>
      <w:r>
        <w:rPr>
          <w:rFonts w:ascii="Arial" w:cs="Arial" w:eastAsia="Arial" w:hAnsi="Arial"/>
          <w:sz w:val="22"/>
          <w:szCs w:val="22"/>
        </w:rPr>
        <w:t xml:space="preserve">Layer 1: Data Ingestion — Scrapy + Airflow + Kafka</w:t>
      </w:r>
    </w:p>
    <w:p>
      <w:pPr>
        <w:pStyle w:val="ListParagraph"/>
        <w:numPr>
          <w:ilvl w:val="0"/>
          <w:numId w:val="2"/>
        </w:numPr>
        <w:spacing w:after="40" w:before="40"/>
      </w:pPr>
      <w:r>
        <w:rPr>
          <w:rFonts w:ascii="Arial" w:cs="Arial" w:eastAsia="Arial" w:hAnsi="Arial"/>
          <w:sz w:val="22"/>
          <w:szCs w:val="22"/>
        </w:rPr>
        <w:t xml:space="preserve">Layer 2: Enrichment — Tika OCR + normalization workers</w:t>
      </w:r>
    </w:p>
    <w:p>
      <w:pPr>
        <w:pStyle w:val="ListParagraph"/>
        <w:numPr>
          <w:ilvl w:val="0"/>
          <w:numId w:val="2"/>
        </w:numPr>
        <w:spacing w:after="40" w:before="40"/>
      </w:pPr>
      <w:r>
        <w:rPr>
          <w:rFonts w:ascii="Arial" w:cs="Arial" w:eastAsia="Arial" w:hAnsi="Arial"/>
          <w:sz w:val="22"/>
          <w:szCs w:val="22"/>
        </w:rPr>
        <w:t xml:space="preserve">Layer 3: Storage — PostgreSQL + Elasticsearch + Qdrant vector DB</w:t>
      </w:r>
    </w:p>
    <w:p>
      <w:pPr>
        <w:pStyle w:val="ListParagraph"/>
        <w:numPr>
          <w:ilvl w:val="0"/>
          <w:numId w:val="2"/>
        </w:numPr>
        <w:spacing w:after="40" w:before="40"/>
      </w:pPr>
      <w:r>
        <w:rPr>
          <w:rFonts w:ascii="Arial" w:cs="Arial" w:eastAsia="Arial" w:hAnsi="Arial"/>
          <w:sz w:val="22"/>
          <w:szCs w:val="22"/>
        </w:rPr>
        <w:t xml:space="preserve">Layer 4: AI Core — RAG pipelines + MCP server + Claude/GPT-4o</w:t>
      </w:r>
    </w:p>
    <w:p>
      <w:pPr>
        <w:pStyle w:val="ListParagraph"/>
        <w:numPr>
          <w:ilvl w:val="0"/>
          <w:numId w:val="2"/>
        </w:numPr>
        <w:spacing w:after="40" w:before="40"/>
      </w:pPr>
      <w:r>
        <w:rPr>
          <w:rFonts w:ascii="Arial" w:cs="Arial" w:eastAsia="Arial" w:hAnsi="Arial"/>
          <w:sz w:val="22"/>
          <w:szCs w:val="22"/>
        </w:rPr>
        <w:t xml:space="preserve">Layer 5: Application — NestJS + React/TypeScript + Kubernetes</w:t>
      </w:r>
    </w:p>
    <w:p>
      <w:pPr>
        <w:spacing w:after="80" w:before="60"/>
      </w:pPr>
      <w:r>
        <w:rPr>
          <w:rFonts w:ascii="Arial" w:cs="Arial" w:eastAsia="Arial" w:hAnsi="Arial"/>
          <w:sz w:val="22"/>
          <w:szCs w:val="22"/>
        </w:rPr>
        <w:t xml:space="preserve">Then say: "This is what we've already designed. We are not starting from a blank sheet."</w:t>
      </w:r>
    </w:p>
    <w:p>
      <w:pPr>
        <w:spacing w:after="120" w:before="0"/>
      </w:pPr>
      <w:r>
        <w:t xml:space="preserve"/>
      </w:r>
    </w:p>
    <w:p>
      <w:pPr>
        <w:pStyle w:val="Heading2"/>
        <w:spacing w:after="80" w:before="240"/>
      </w:pPr>
      <w:r>
        <w:rPr>
          <w:rFonts w:ascii="Arial" w:cs="Arial" w:eastAsia="Arial" w:hAnsi="Arial"/>
          <w:b/>
          <w:bCs/>
          <w:color w:val="C8102E"/>
          <w:sz w:val="24"/>
          <w:szCs w:val="24"/>
        </w:rPr>
        <w:t xml:space="preserve">4.3 Anchor on the Economics — The Techno-Economist Move</w:t>
      </w:r>
    </w:p>
    <w:p>
      <w:pPr>
        <w:spacing w:after="80" w:before="60"/>
      </w:pPr>
      <w:r>
        <w:rPr>
          <w:rFonts w:ascii="Arial" w:cs="Arial" w:eastAsia="Arial" w:hAnsi="Arial"/>
          <w:sz w:val="22"/>
          <w:szCs w:val="22"/>
        </w:rPr>
        <w:t xml:space="preserve">This is where your techno-economist positioning activates. Pull out the numbers: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Phase 1 (MCP Hybrid)</w:t>
            </w:r>
          </w:p>
        </w:tc>
        <w:tc>
          <w:tcPr>
            <w:tcW w:type="dxa" w:w="6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$80K – $120K capital, 3.5 – 5 months, 0 scraper maintenance burden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2 (Native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$125K incremental CapEx, funded by Phase 1 revenue, full data sovereignty</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Year 1 Revenue Target</w:t>
            </w:r>
          </w:p>
        </w:tc>
        <w:tc>
          <w:tcPr>
            <w:tcW w:type="dxa" w:w="6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$840K ARR at blended $200/user/month across Professional + Enterprise tiers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Year 3 Revenue 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$8.4M ARR — $150/user/month Professional, $350/user/month Enterprise Capture</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Year 5 Revenue Target</w:t>
            </w:r>
          </w:p>
        </w:tc>
        <w:tc>
          <w:tcPr>
            <w:tcW w:type="dxa" w:w="6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$40.3M ARR, 53.8% EBITDA margin — comparable to category leaders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Key Insight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is not a compromise. It is the fastest path to the revenue that funds Phase 2.</w:t>
            </w:r>
          </w:p>
        </w:tc>
      </w:tr>
    </w:tbl>
    <w:p>
      <w:pPr>
        <w:spacing w:after="120" w:before="0"/>
      </w:pPr>
      <w:r>
        <w:t xml:space="preserve"/>
      </w:r>
    </w:p>
    <w:p>
      <w:pPr>
        <w:spacing w:after="80" w:before="60"/>
      </w:pPr>
      <w:r>
        <w:rPr>
          <w:rFonts w:ascii="Arial" w:cs="Arial" w:eastAsia="Arial" w:hAnsi="Arial"/>
          <w:sz w:val="22"/>
          <w:szCs w:val="22"/>
        </w:rPr>
        <w:t xml:space="preserve">The moment you put a Year 5 P&amp;L in front of a client, the conversation shifts from 'how much does this cost?' to 'when do we start?'</w:t>
      </w:r>
    </w:p>
    <w:p>
      <w:pPr>
        <w:spacing w:after="120" w:before="0"/>
      </w:pPr>
      <w:r>
        <w:t xml:space="preserve"/>
      </w:r>
    </w:p>
    <w:p>
      <w:pPr>
        <w:pStyle w:val="Heading2"/>
        <w:spacing w:after="80" w:before="240"/>
      </w:pPr>
      <w:r>
        <w:rPr>
          <w:rFonts w:ascii="Arial" w:cs="Arial" w:eastAsia="Arial" w:hAnsi="Arial"/>
          <w:b/>
          <w:bCs/>
          <w:color w:val="C8102E"/>
          <w:sz w:val="24"/>
          <w:szCs w:val="24"/>
        </w:rPr>
        <w:t xml:space="preserve">4.4 The Scarcity and Clarity Close</w:t>
      </w:r>
    </w:p>
    <w:p>
      <w:pPr>
        <w:spacing w:after="80" w:before="60"/>
      </w:pPr>
      <w:r>
        <w:rPr>
          <w:rFonts w:ascii="Arial" w:cs="Arial" w:eastAsia="Arial" w:hAnsi="Arial"/>
          <w:sz w:val="22"/>
          <w:szCs w:val="22"/>
        </w:rPr>
        <w:t xml:space="preserve">Close the discovery conversation with clarity, not pressure. McKinsey always defines the next step precisely: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E38"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CLOSING MOVE</w:t>
            </w:r>
          </w:p>
        </w:tc>
        <w:tc>
          <w:tcPr>
            <w:tcW w:type="dxa" w:w="8160"/>
            <w:tcBorders>
              <w:top w:val="none" w:color="FFFFFF" w:sz="0"/>
              <w:left w:val="none" w:color="FFFFFF" w:sz="0"/>
              <w:bottom w:val="none" w:color="FFFFFF" w:sz="0"/>
              <w:right w:val="none" w:color="FFFFFF" w:sz="0"/>
            </w:tcBorders>
            <w:shd w:fill="EEF2F7" w:val="clear"/>
            <w:tcMar>
              <w:top w:type="dxa" w:w="120"/>
              <w:left w:type="dxa" w:w="200"/>
              <w:bottom w:type="dxa" w:w="120"/>
              <w:right w:type="dxa" w:w="120"/>
            </w:tcMar>
          </w:tcPr>
          <w:p>
            <w:r>
              <w:rPr>
                <w:rFonts w:ascii="Arial" w:cs="Arial" w:eastAsia="Arial" w:hAnsi="Arial"/>
                <w:i/>
                <w:iCs/>
                <w:sz w:val="22"/>
                <w:szCs w:val="22"/>
              </w:rPr>
              <w:t xml:space="preserve">"Based on what you've shared today, here is what I'd recommend as the immediate path. We spend two weeks doing a formal Scoping &amp; Architecture Sprint — we map your exact differentiation hypothesis against the OmniCon baseline architecture, identify the minimum viable feature set for Phase 1, and produce a fixed-scope, fixed-price proposal. That sprint costs [X]. If we proceed to build, it rolls into the engagement fee. Either way, you walk away with a document that any other firm would quote you $50,000 to produce."</w:t>
            </w:r>
          </w:p>
        </w:tc>
      </w:tr>
    </w:tbl>
    <w:p>
      <w:r>
        <w:br w:type="page"/>
      </w:r>
    </w:p>
    <w:p>
      <w:pPr>
        <w:pStyle w:val="Heading1"/>
        <w:pBdr>
          <w:bottom w:val="single" w:color="1B3A6B" w:sz="6"/>
        </w:pBdr>
        <w:spacing w:after="120" w:before="360"/>
      </w:pPr>
      <w:r>
        <w:rPr>
          <w:rFonts w:ascii="Arial" w:cs="Arial" w:eastAsia="Arial" w:hAnsi="Arial"/>
          <w:b/>
          <w:bCs/>
          <w:color w:val="1B3A6B"/>
          <w:sz w:val="28"/>
          <w:szCs w:val="28"/>
        </w:rPr>
        <w:t xml:space="preserve">5. Recommended Commercial Structure</w:t>
      </w:r>
    </w:p>
    <w:p>
      <w:pPr>
        <w:spacing w:after="80" w:before="60"/>
      </w:pPr>
      <w:r>
        <w:rPr>
          <w:rFonts w:ascii="Arial" w:cs="Arial" w:eastAsia="Arial" w:hAnsi="Arial"/>
          <w:sz w:val="22"/>
          <w:szCs w:val="22"/>
        </w:rPr>
        <w:t xml:space="preserve">Do not enter this meeting without a commercial framework in your head. Even if you don't table it today, knowing your numbers gives you authority.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Commercial Terms</w:t>
            </w:r>
          </w:p>
        </w:tc>
      </w:tr>
      <w:tr>
        <w:trPr>
          <w:tblHeader w:val="false"/>
        </w:trP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Scoping Sprint</w:t>
            </w:r>
          </w:p>
        </w:tc>
        <w:tc>
          <w:tcPr>
            <w:tcW w:type="dxa" w:w="34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2 weeks</w:t>
            </w:r>
          </w:p>
        </w:tc>
        <w:tc>
          <w:tcPr>
            <w:tcW w:type="dxa" w:w="34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 – $8,000 — Architecture validation, feature prioritisation, fixed-scope proposal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 Build (MCP Hybrid)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 – 16 weeks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$80,000 – $120,000 — Full MVP: Search, CRM, AI Analyst, Entity Profiles, MCP server</w:t>
            </w:r>
          </w:p>
        </w:tc>
      </w:tr>
      <w:tr>
        <w:trPr>
          <w:tblHeader w:val="false"/>
        </w:trP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 (Native Data Engine)</w:t>
            </w:r>
          </w:p>
        </w:tc>
        <w:tc>
          <w:tcPr>
            <w:tcW w:type="dxa" w:w="34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12 – 16 weeks</w:t>
            </w:r>
          </w:p>
        </w:tc>
        <w:tc>
          <w:tcPr>
            <w:tcW w:type="dxa" w:w="34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$120,000 – $180,000 — Scrapy cluster, Kafka, Elasticsearch, Qdrant, full SLED coverage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Retainer (Ongoing)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 – $12,000/month — Scraper maintenance, AI model updates, feature expansion</w:t>
            </w:r>
          </w:p>
        </w:tc>
      </w:tr>
      <w:tr>
        <w:trPr>
          <w:tblHeader w:val="false"/>
        </w:trP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Revenue Share Option</w:t>
            </w:r>
          </w:p>
        </w:tc>
        <w:tc>
          <w:tcPr>
            <w:tcW w:type="dxa" w:w="34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Optional</w:t>
            </w:r>
          </w:p>
        </w:tc>
        <w:tc>
          <w:tcPr>
            <w:tcW w:type="dxa" w:w="34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Equity stake or revenue share in lieu of / in addition to fees — aligns long-term incentives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B8860B"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NEGOTIATION NOTE</w:t>
            </w:r>
          </w:p>
        </w:tc>
        <w:tc>
          <w:tcPr>
            <w:tcW w:type="dxa" w:w="8160"/>
            <w:tcBorders>
              <w:top w:val="none" w:color="FFFFFF" w:sz="0"/>
              <w:left w:val="none" w:color="FFFFFF" w:sz="0"/>
              <w:bottom w:val="none" w:color="FFFFFF" w:sz="0"/>
              <w:right w:val="none" w:color="FFFFFF" w:sz="0"/>
            </w:tcBorders>
            <w:shd w:fill="FFF8E7" w:val="clear"/>
            <w:tcMar>
              <w:top w:type="dxa" w:w="120"/>
              <w:left w:type="dxa" w:w="200"/>
              <w:bottom w:type="dxa" w:w="120"/>
              <w:right w:type="dxa" w:w="120"/>
            </w:tcMar>
          </w:tcPr>
          <w:p>
            <w:r>
              <w:rPr>
                <w:rFonts w:ascii="Arial" w:cs="Arial" w:eastAsia="Arial" w:hAnsi="Arial"/>
                <w:i/>
                <w:iCs/>
                <w:sz w:val="22"/>
                <w:szCs w:val="22"/>
              </w:rPr>
              <w:t xml:space="preserve">Never discount. Offer scope reduction instead. If budget is tight, propose a smaller Phase 1 (Federal only, no SLED) at $60K–$80K, with SLED as a Phase 1B expansion. This keeps the engagement alive without eroding your margin.</w:t>
            </w:r>
          </w:p>
        </w:tc>
      </w:tr>
    </w:tbl>
    <w:p>
      <w:r>
        <w:br w:type="page"/>
      </w:r>
    </w:p>
    <w:p>
      <w:pPr>
        <w:pStyle w:val="Heading1"/>
        <w:pBdr>
          <w:bottom w:val="single" w:color="1B3A6B" w:sz="6"/>
        </w:pBdr>
        <w:spacing w:after="120" w:before="360"/>
      </w:pPr>
      <w:r>
        <w:rPr>
          <w:rFonts w:ascii="Arial" w:cs="Arial" w:eastAsia="Arial" w:hAnsi="Arial"/>
          <w:b/>
          <w:bCs/>
          <w:color w:val="1B3A6B"/>
          <w:sz w:val="28"/>
          <w:szCs w:val="28"/>
        </w:rPr>
        <w:t xml:space="preserve">6. Meeting Logistics &amp; Nexus Integration</w:t>
      </w:r>
    </w:p>
    <w:p>
      <w:pPr>
        <w:pStyle w:val="Heading2"/>
        <w:spacing w:after="80" w:before="240"/>
      </w:pPr>
      <w:r>
        <w:rPr>
          <w:rFonts w:ascii="Arial" w:cs="Arial" w:eastAsia="Arial" w:hAnsi="Arial"/>
          <w:b/>
          <w:bCs/>
          <w:color w:val="C8102E"/>
          <w:sz w:val="24"/>
          <w:szCs w:val="24"/>
        </w:rPr>
        <w:t xml:space="preserve">6.1 Meeting Preparation Checklist</w:t>
      </w:r>
    </w:p>
    <w:p>
      <w:pPr>
        <w:pStyle w:val="ListParagraph"/>
        <w:numPr>
          <w:ilvl w:val="0"/>
          <w:numId w:val="2"/>
        </w:numPr>
        <w:spacing w:after="40" w:before="40"/>
      </w:pPr>
      <w:r>
        <w:rPr>
          <w:rFonts w:ascii="Arial" w:cs="Arial" w:eastAsia="Arial" w:hAnsi="Arial"/>
          <w:sz w:val="22"/>
          <w:szCs w:val="22"/>
        </w:rPr>
        <w:t xml:space="preserve">Print or have digital copy of this brief — review it 30 minutes before the meeting</w:t>
      </w:r>
    </w:p>
    <w:p>
      <w:pPr>
        <w:pStyle w:val="ListParagraph"/>
        <w:numPr>
          <w:ilvl w:val="0"/>
          <w:numId w:val="2"/>
        </w:numPr>
        <w:spacing w:after="40" w:before="40"/>
      </w:pPr>
      <w:r>
        <w:rPr>
          <w:rFonts w:ascii="Arial" w:cs="Arial" w:eastAsia="Arial" w:hAnsi="Arial"/>
          <w:sz w:val="22"/>
          <w:szCs w:val="22"/>
        </w:rPr>
        <w:t xml:space="preserve">Have OmniCon system architecture diagram ready to screen-share or print</w:t>
      </w:r>
    </w:p>
    <w:p>
      <w:pPr>
        <w:pStyle w:val="ListParagraph"/>
        <w:numPr>
          <w:ilvl w:val="0"/>
          <w:numId w:val="2"/>
        </w:numPr>
        <w:spacing w:after="40" w:before="40"/>
      </w:pPr>
      <w:r>
        <w:rPr>
          <w:rFonts w:ascii="Arial" w:cs="Arial" w:eastAsia="Arial" w:hAnsi="Arial"/>
          <w:sz w:val="22"/>
          <w:szCs w:val="22"/>
        </w:rPr>
        <w:t xml:space="preserve">Know your numbers cold: $80K Phase 1, 14-16 weeks, Year 5 $40.3M</w:t>
      </w:r>
    </w:p>
    <w:p>
      <w:pPr>
        <w:pStyle w:val="ListParagraph"/>
        <w:numPr>
          <w:ilvl w:val="0"/>
          <w:numId w:val="2"/>
        </w:numPr>
        <w:spacing w:after="40" w:before="40"/>
      </w:pPr>
      <w:r>
        <w:rPr>
          <w:rFonts w:ascii="Arial" w:cs="Arial" w:eastAsia="Arial" w:hAnsi="Arial"/>
          <w:sz w:val="22"/>
          <w:szCs w:val="22"/>
        </w:rPr>
        <w:t xml:space="preserve">Prepare one-page executive summary of the Three Paths Framework for the client</w:t>
      </w:r>
    </w:p>
    <w:p>
      <w:pPr>
        <w:pStyle w:val="ListParagraph"/>
        <w:numPr>
          <w:ilvl w:val="0"/>
          <w:numId w:val="2"/>
        </w:numPr>
        <w:spacing w:after="40" w:before="40"/>
      </w:pPr>
      <w:r>
        <w:rPr>
          <w:rFonts w:ascii="Arial" w:cs="Arial" w:eastAsia="Arial" w:hAnsi="Arial"/>
          <w:sz w:val="22"/>
          <w:szCs w:val="22"/>
        </w:rPr>
        <w:t xml:space="preserve">Know the name of your contact and any background on their current GovCon activity</w:t>
      </w:r>
    </w:p>
    <w:p>
      <w:pPr>
        <w:pStyle w:val="ListParagraph"/>
        <w:numPr>
          <w:ilvl w:val="0"/>
          <w:numId w:val="2"/>
        </w:numPr>
        <w:spacing w:after="40" w:before="40"/>
      </w:pPr>
      <w:r>
        <w:rPr>
          <w:rFonts w:ascii="Arial" w:cs="Arial" w:eastAsia="Arial" w:hAnsi="Arial"/>
          <w:sz w:val="22"/>
          <w:szCs w:val="22"/>
        </w:rPr>
        <w:t xml:space="preserve">Have your calendar ready — if the meeting goes well, close a Scoping Sprint date on the spot</w:t>
      </w:r>
    </w:p>
    <w:p>
      <w:pPr>
        <w:spacing w:after="120" w:before="0"/>
      </w:pPr>
      <w:r>
        <w:t xml:space="preserve"/>
      </w:r>
    </w:p>
    <w:p>
      <w:pPr>
        <w:pStyle w:val="Heading2"/>
        <w:spacing w:after="80" w:before="240"/>
      </w:pPr>
      <w:r>
        <w:rPr>
          <w:rFonts w:ascii="Arial" w:cs="Arial" w:eastAsia="Arial" w:hAnsi="Arial"/>
          <w:b/>
          <w:bCs/>
          <w:color w:val="C8102E"/>
          <w:sz w:val="24"/>
          <w:szCs w:val="24"/>
        </w:rPr>
        <w:t xml:space="preserve">6.2 Meeting Outcome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Outcome A: Strong Interest</w:t>
            </w:r>
          </w:p>
        </w:tc>
        <w:tc>
          <w:tcPr>
            <w:tcW w:type="dxa" w:w="6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Close the Scoping Sprint on the spot. Agree a start date. Send formal proposal within 48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Outcome B: Needs Internal Alignment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Offer to prepare a 1-page executive summary they can share with stakeholders. Follow up in 72 hours.</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Outcome C: Budget Concerns</w:t>
            </w:r>
          </w:p>
        </w:tc>
        <w:tc>
          <w:tcPr>
            <w:tcW w:type="dxa" w:w="6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Offer a reduced Phase 1 scope (Federal only). Reframe cost as investment with clear ROI timeline.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Outcome D: Wants to Think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Leave the Three Paths document. Set a specific follow-up date — not 'I'll be in touch.' Name the day.</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Outcome E: Already Talking to Others</w:t>
            </w:r>
          </w:p>
        </w:tc>
        <w:tc>
          <w:tcPr>
            <w:tcW w:type="dxa" w:w="6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Differentiate immediately: 'Unlike traditional dev shops, we have already architected this system. This is not a proposal — this is a head start.'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NEXUS TASK</w:t>
            </w:r>
          </w:p>
        </w:tc>
        <w:tc>
          <w:tcPr>
            <w:tcW w:type="dxa" w:w="8160"/>
            <w:tcBorders>
              <w:top w:val="none" w:color="FFFFFF" w:sz="0"/>
              <w:left w:val="none" w:color="FFFFFF" w:sz="0"/>
              <w:bottom w:val="none" w:color="FFFFFF" w:sz="0"/>
              <w:right w:val="none" w:color="FFFFFF" w:sz="0"/>
            </w:tcBorders>
            <w:shd w:fill="EEF2F7" w:val="clear"/>
            <w:tcMar>
              <w:top w:type="dxa" w:w="120"/>
              <w:left w:type="dxa" w:w="200"/>
              <w:bottom w:type="dxa" w:w="120"/>
              <w:right w:type="dxa" w:w="120"/>
            </w:tcMar>
          </w:tcPr>
          <w:p>
            <w:r>
              <w:rPr>
                <w:rFonts w:ascii="Arial" w:cs="Arial" w:eastAsia="Arial" w:hAnsi="Arial"/>
                <w:i/>
                <w:iCs/>
                <w:sz w:val="22"/>
                <w:szCs w:val="22"/>
              </w:rPr>
              <w:t xml:space="preserve">Nexus will be notified of this meeting. Create a task via PathGuru console: 'OmniCon Client Discovery Meeting — [Client Name] — June 2026.' Add booking to service_bookings with track = bd. Nexus will send you a WhatsApp reminder 15 minutes before.</w:t>
            </w:r>
          </w:p>
        </w:tc>
      </w:tr>
    </w:tbl>
    <w:p>
      <w:pPr>
        <w:spacing w:after="240" w:before="0"/>
      </w:pPr>
      <w:r>
        <w:t xml:space="preserve"/>
      </w:r>
    </w:p>
    <w:p>
      <w:pPr>
        <w:pBdr>
          <w:top w:val="single" w:color="1B3A6B" w:sz="4"/>
        </w:pBdr>
        <w:spacing w:after="60" w:before="240"/>
        <w:jc w:val="center"/>
      </w:pPr>
      <w:r>
        <w:rPr>
          <w:rFonts w:ascii="Arial" w:cs="Arial" w:eastAsia="Arial" w:hAnsi="Arial"/>
          <w:i/>
          <w:iCs/>
          <w:color w:val="888888"/>
          <w:sz w:val="18"/>
          <w:szCs w:val="18"/>
        </w:rPr>
        <w:t xml:space="preserve">DigiFusion Advisory Group  |  Confidential  |  June 2026</w:t>
      </w:r>
    </w:p>
    <w:p>
      <w:pPr>
        <w:jc w:val="center"/>
      </w:pPr>
      <w:r>
        <w:rPr>
          <w:rFonts w:ascii="Arial" w:cs="Arial" w:eastAsia="Arial" w:hAnsi="Arial"/>
          <w:b/>
          <w:bCs/>
          <w:color w:val="C8102E"/>
          <w:sz w:val="20"/>
          <w:szCs w:val="20"/>
        </w:rPr>
        <w:t xml:space="preserve">Walk in knowing more than they do. That is the only pitch you need.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pBdr>
      <w:jc w:val="right"/>
    </w:pPr>
    <w:r>
      <w:rPr>
        <w:rFonts w:ascii="Arial" w:cs="Arial" w:eastAsia="Arial" w:hAnsi="Arial"/>
        <w:color w:val="888888"/>
        <w:sz w:val="16"/>
        <w:szCs w:val="16"/>
      </w:rPr>
      <w:t xml:space="preserve">CONFIDENTIAL  |  DigiFusion Advisory  |  Project OmniCon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C8102E"/>
      <w:sz w:val="24"/>
      <w:szCs w:val="24"/>
    </w:rPr>
  </w:style>
  <w:style w:type="paragraph" w:styleId="Heading3">
    <w:name w:val="Heading 3"/>
    <w:basedOn w:val="Normal"/>
    <w:next w:val="Normal"/>
    <w:qFormat/>
    <w:pPr>
      <w:spacing w:after="6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2026-06-01T22:26:47.880Z</dcterms:created>
  <dcterms:modified xsi:type="dcterms:W3CDTF">2026-06-01T22:26:47.881Z</dcterms:modified>
</cp:coreProperties>
</file>

<file path=docProps/custom.xml><?xml version="1.0" encoding="utf-8"?>
<Properties xmlns="http://schemas.openxmlformats.org/officeDocument/2006/custom-properties" xmlns:vt="http://schemas.openxmlformats.org/officeDocument/2006/docPropsVTypes"/>
</file>