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720"/>
              <w:left w:type="dxa" w:w="480"/>
              <w:bottom w:type="dxa" w:w="720"/>
              <w:right w:type="dxa" w:w="480"/>
            </w:tcMar>
          </w:tcPr>
          <w:p>
            <w:pPr>
              <w:spacing w:after="120" w:before="0"/>
              <w:jc w:val="center"/>
            </w:pPr>
            <w:r>
              <w:rPr>
                <w:rFonts w:ascii="Arial" w:cs="Arial" w:eastAsia="Arial" w:hAnsi="Arial"/>
                <w:b/>
                <w:bCs/>
                <w:color w:val="C9922A"/>
                <w:sz w:val="64"/>
                <w:szCs w:val="64"/>
              </w:rPr>
              <w:t xml:space="preserve">DIGIFUSION</w:t>
            </w:r>
          </w:p>
          <w:p>
            <w:pPr>
              <w:spacing w:after="60"/>
              <w:jc w:val="center"/>
            </w:pPr>
            <w:r>
              <w:rPr>
                <w:rFonts w:ascii="Arial" w:cs="Arial" w:eastAsia="Arial" w:hAnsi="Arial"/>
                <w:color w:val="FFFFFF"/>
                <w:sz w:val="28"/>
                <w:szCs w:val="28"/>
              </w:rPr>
              <w:t xml:space="preserve">INTELLIGENCE NETWORK</w:t>
            </w:r>
          </w:p>
          <w:p>
            <w:pPr>
              <w:spacing w:after="480"/>
              <w:jc w:val="center"/>
            </w:pPr>
            <w:r>
              <w:rPr>
                <w:rFonts w:ascii="Arial" w:cs="Arial" w:eastAsia="Arial" w:hAnsi="Arial"/>
                <w:color w:val="C9922A"/>
                <w:sz w:val="20"/>
                <w:szCs w:val="20"/>
              </w:rPr>
              <w:t xml:space="preserve">─────────────────────────────────</w:t>
            </w:r>
          </w:p>
          <w:p>
            <w:pPr>
              <w:spacing w:after="120"/>
              <w:jc w:val="center"/>
            </w:pPr>
            <w:r>
              <w:rPr>
                <w:rFonts w:ascii="Arial" w:cs="Arial" w:eastAsia="Arial" w:hAnsi="Arial"/>
                <w:b/>
                <w:bCs/>
                <w:color w:val="FFFFFF"/>
                <w:sz w:val="46"/>
                <w:szCs w:val="46"/>
              </w:rPr>
              <w:t xml:space="preserve">THE CONTENT-TO-CAPITAL PIPELINE</w:t>
            </w:r>
          </w:p>
          <w:p>
            <w:pPr>
              <w:spacing w:after="240"/>
              <w:jc w:val="center"/>
            </w:pPr>
            <w:r>
              <w:rPr>
                <w:rFonts w:ascii="Arial" w:cs="Arial" w:eastAsia="Arial" w:hAnsi="Arial"/>
                <w:i/>
                <w:iCs/>
                <w:color w:val="C9922A"/>
                <w:sz w:val="26"/>
                <w:szCs w:val="26"/>
              </w:rPr>
              <w:t xml:space="preserve">A Proprietary 4-Phase Digital Media Methodology</w:t>
            </w:r>
          </w:p>
          <w:p>
            <w:pPr>
              <w:spacing w:after="480"/>
              <w:jc w:val="center"/>
            </w:pPr>
            <w:r>
              <w:rPr>
                <w:rFonts w:ascii="Arial" w:cs="Arial" w:eastAsia="Arial" w:hAnsi="Arial"/>
                <w:color w:val="C9922A"/>
                <w:sz w:val="20"/>
                <w:szCs w:val="20"/>
              </w:rPr>
              <w:t xml:space="preserve">─────────────────────────────────</w:t>
            </w:r>
          </w:p>
          <w:p>
            <w:pPr>
              <w:spacing w:after="120"/>
              <w:jc w:val="center"/>
            </w:pPr>
            <w:r>
              <w:rPr>
                <w:rFonts w:ascii="Arial" w:cs="Arial" w:eastAsia="Arial" w:hAnsi="Arial"/>
                <w:color w:val="D0D7DE"/>
                <w:sz w:val="20"/>
                <w:szCs w:val="20"/>
              </w:rPr>
              <w:t xml:space="preserve">Synthesised from: RACE Framework · See-Think-Do-Care · Pillar-and-Cluster · Hub-and-Spoke</w:t>
            </w:r>
          </w:p>
          <w:p>
            <w:pPr>
              <w:spacing w:after="240"/>
              <w:jc w:val="center"/>
            </w:pPr>
            <w:r>
              <w:rPr>
                <w:rFonts w:ascii="Arial" w:cs="Arial" w:eastAsia="Arial" w:hAnsi="Arial"/>
                <w:color w:val="D0D7DE"/>
                <w:sz w:val="20"/>
                <w:szCs w:val="20"/>
              </w:rPr>
              <w:t xml:space="preserve">Includes: Content Maturity Scorecard · 3-Tier Diagnostic · Templates · Flywheel Architecture</w:t>
            </w:r>
          </w:p>
          <w:p>
            <w:pPr>
              <w:spacing w:after="80" w:before="0"/>
            </w:pPr>
            <w:r>
              <w:t xml:space="preserve"/>
            </w:r>
          </w:p>
          <w:p>
            <w:pPr>
              <w:jc w:val="center"/>
            </w:pPr>
            <w:r>
              <w:rPr>
                <w:rFonts w:ascii="Arial" w:cs="Arial" w:eastAsia="Arial" w:hAnsi="Arial"/>
                <w:color w:val="6B7280"/>
                <w:sz w:val="20"/>
                <w:szCs w:val="20"/>
              </w:rPr>
              <w:t xml:space="preserve">Proprietary &amp; Confidential  |  DigiFusion Agency  |  2026</w:t>
            </w:r>
          </w:p>
        </w:tc>
      </w:tr>
    </w:tbl>
    <w:p>
      <w:r>
        <w:br w:type="page"/>
      </w:r>
    </w:p>
    <w:p>
      <w:pPr>
        <w:pStyle w:val="Heading1"/>
        <w:spacing w:after="160" w:before="320"/>
      </w:pPr>
      <w:r>
        <w:rPr>
          <w:rFonts w:ascii="Arial" w:cs="Arial" w:eastAsia="Arial" w:hAnsi="Arial"/>
          <w:b/>
          <w:bCs/>
          <w:color w:val="0D2137"/>
          <w:sz w:val="36"/>
          <w:szCs w:val="36"/>
        </w:rPr>
        <w:t xml:space="preserve">THE DIGIFUSION MANIFESTO</w:t>
      </w:r>
    </w:p>
    <w:p>
      <w:pPr>
        <w:pBdr>
          <w:bottom w:val="single" w:color="C9922A" w:sz="8" w:space="1"/>
        </w:pBdr>
        <w:spacing w:after="60" w:before="60"/>
      </w:pPr>
      <w:r>
        <w:t xml:space="preserve"/>
      </w:r>
    </w:p>
    <w:p>
      <w:pPr>
        <w:spacing w:after="40" w:before="0"/>
      </w:pPr>
      <w:r>
        <w:t xml:space="preserve"/>
      </w:r>
    </w:p>
    <w:p>
      <w:pPr>
        <w:spacing w:after="160" w:before="0"/>
      </w:pPr>
      <w:r>
        <w:rPr>
          <w:rFonts w:ascii="Arial" w:cs="Arial" w:eastAsia="Arial" w:hAnsi="Arial"/>
          <w:color w:val="2C3E50"/>
          <w:sz w:val="26"/>
          <w:szCs w:val="26"/>
        </w:rPr>
        <w:t xml:space="preserve">Most agencies sell marketing. We sell architecture.</w:t>
      </w:r>
    </w:p>
    <w:p>
      <w:pPr>
        <w:spacing w:after="20" w:before="0"/>
      </w:pPr>
      <w:r>
        <w:t xml:space="preserve"/>
      </w:r>
    </w:p>
    <w:p>
      <w:pPr>
        <w:spacing w:after="140" w:before="0"/>
      </w:pPr>
      <w:r>
        <w:rPr>
          <w:rFonts w:ascii="Arial" w:cs="Arial" w:eastAsia="Arial" w:hAnsi="Arial"/>
          <w:sz w:val="22"/>
          <w:szCs w:val="22"/>
        </w:rPr>
        <w:t xml:space="preserve">There is a reason why the world's most valuable brands do not simply "post content." They operate systems — structured, measurable, compounding machines that turn every piece of content into a commercial asset. That is what we build.</w:t>
      </w:r>
    </w:p>
    <w:p>
      <w:pPr>
        <w:spacing w:after="20" w:before="0"/>
      </w:pPr>
      <w:r>
        <w:t xml:space="preserve"/>
      </w:r>
    </w:p>
    <w:p>
      <w:pPr>
        <w:spacing w:after="140" w:before="0"/>
      </w:pPr>
      <w:r>
        <w:rPr>
          <w:rFonts w:ascii="Arial" w:cs="Arial" w:eastAsia="Arial" w:hAnsi="Arial"/>
          <w:sz w:val="22"/>
          <w:szCs w:val="22"/>
        </w:rPr>
        <w:t xml:space="preserve">The Content-to-Capital Pipeline is DigiFusion's answer to the agency industry's most persistent failure: the delivery of isolated tactics dressed up as strategy. A social calendar is not a strategy. A keyword list is not a system. A content plan without a conversion architecture is decoration.</w:t>
      </w:r>
    </w:p>
    <w:p>
      <w:pPr>
        <w:spacing w:after="20" w:before="0"/>
      </w:pPr>
      <w:r>
        <w:t xml:space="preserve"/>
      </w:r>
    </w:p>
    <w:p>
      <w:pPr>
        <w:spacing w:after="140" w:before="0"/>
      </w:pPr>
      <w:r>
        <w:rPr>
          <w:rFonts w:ascii="Arial" w:cs="Arial" w:eastAsia="Arial" w:hAnsi="Arial"/>
          <w:sz w:val="22"/>
          <w:szCs w:val="22"/>
        </w:rPr>
        <w:t xml:space="preserve">We synthesised four of the most rigorous digital media frameworks ever produced — Google's See-Think-Do-Care model, the RACE lifecycle framework, the Pillar-and-Cluster authority methodology, and the Hub-and-Spoke distribution engine — and fused them into a single operating system built for one outcome: commercial growth.</w:t>
      </w:r>
    </w:p>
    <w:p>
      <w:pPr>
        <w:spacing w:after="20" w:before="0"/>
      </w:pPr>
      <w:r>
        <w:t xml:space="preserve"/>
      </w:r>
    </w:p>
    <w:p>
      <w:pPr>
        <w:spacing w:after="140" w:before="0"/>
      </w:pPr>
      <w:r>
        <w:rPr>
          <w:rFonts w:ascii="Arial" w:cs="Arial" w:eastAsia="Arial" w:hAnsi="Arial"/>
          <w:sz w:val="22"/>
          <w:szCs w:val="22"/>
        </w:rPr>
        <w:t xml:space="preserve">Every engagement begins with a Diagnostic. Not a sales conversation — a diagnostic. We measure your content maturity across five dimensions. We place you in one of three tiers. And we prescribe exactly what you need to build, in what order, to move from where you are to where your revenue requires you to be.</w:t>
      </w:r>
    </w:p>
    <w:p>
      <w:pPr>
        <w:spacing w:after="20" w:before="0"/>
      </w:pPr>
      <w:r>
        <w:t xml:space="preserve"/>
      </w:r>
    </w:p>
    <w:p>
      <w:pPr>
        <w:spacing w:after="140" w:before="0"/>
      </w:pPr>
      <w:r>
        <w:rPr>
          <w:rFonts w:ascii="Arial" w:cs="Arial" w:eastAsia="Arial" w:hAnsi="Arial"/>
          <w:sz w:val="22"/>
          <w:szCs w:val="22"/>
        </w:rPr>
        <w:t xml:space="preserve">This document is the architecture. What follows is not theory — it is the system your competitors do not have.</w:t>
      </w:r>
    </w:p>
    <w:p>
      <w:pPr>
        <w:spacing w:after="40" w:before="0"/>
      </w:pPr>
      <w:r>
        <w:t xml:space="preserve"/>
      </w:r>
    </w:p>
    <w:p>
      <w:pPr>
        <w:jc w:val="right"/>
      </w:pPr>
      <w:r>
        <w:rPr>
          <w:rFonts w:ascii="Arial" w:cs="Arial" w:eastAsia="Arial" w:hAnsi="Arial"/>
          <w:b/>
          <w:bCs/>
          <w:i/>
          <w:iCs/>
          <w:color w:val="0D2137"/>
          <w:sz w:val="22"/>
          <w:szCs w:val="22"/>
        </w:rPr>
        <w:t xml:space="preserve">— The DigiFusion Partners</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0D2137"/>
          <w:sz w:val="36"/>
          <w:szCs w:val="36"/>
        </w:rPr>
        <w:t xml:space="preserve">THE CONTENT-TO-CAPITAL PIPELINE</w:t>
      </w:r>
    </w:p>
    <w:p>
      <w:pPr>
        <w:pStyle w:val="Heading3"/>
        <w:spacing w:after="80" w:before="180"/>
      </w:pPr>
      <w:r>
        <w:rPr>
          <w:rFonts w:ascii="Arial" w:cs="Arial" w:eastAsia="Arial" w:hAnsi="Arial"/>
          <w:b/>
          <w:bCs/>
          <w:color w:val="0D2137"/>
          <w:sz w:val="24"/>
          <w:szCs w:val="24"/>
        </w:rPr>
        <w:t xml:space="preserve">Framework Architecture Overview</w:t>
      </w:r>
    </w:p>
    <w:p>
      <w:pPr>
        <w:spacing w:after="20" w:before="0"/>
      </w:pPr>
      <w:r>
        <w:t xml:space="preserve"/>
      </w:r>
    </w:p>
    <w:p>
      <w:pPr>
        <w:spacing w:after="140" w:before="0"/>
      </w:pPr>
      <w:r>
        <w:rPr>
          <w:rFonts w:ascii="Arial" w:cs="Arial" w:eastAsia="Arial" w:hAnsi="Arial"/>
          <w:sz w:val="22"/>
          <w:szCs w:val="22"/>
        </w:rPr>
        <w:t xml:space="preserve">The Content-to-Capital Pipeline is a proprietary 4-phase digital media operating system developed by DigiFusion. It fuses four best-in-class international frameworks into a single, integrated methodology — delivering the diagnostic precision of consulting with the execution rigour of a media agency.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3120"/>
        <w:gridCol w:w="3000"/>
      </w:tblGrid>
      <w:tr>
        <w:trPr>
          <w:tblHeader/>
        </w:trPr>
        <w:tc>
          <w:tcPr>
            <w:tcW w:type="dxa" w:w="1200"/>
            <w:tcBorders>
              <w:top w:val="single" w:color="D0D7DE" w:sz="1"/>
              <w:left w:val="single" w:color="D0D7DE" w:sz="1"/>
              <w:bottom w:val="single" w:color="D0D7DE" w:sz="1"/>
              <w:right w:val="single" w:color="D0D7DE"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40"/>
            <w:tcBorders>
              <w:top w:val="single" w:color="D0D7DE" w:sz="1"/>
              <w:left w:val="single" w:color="D0D7DE" w:sz="1"/>
              <w:bottom w:val="single" w:color="D0D7DE" w:sz="1"/>
              <w:right w:val="single" w:color="D0D7DE"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120"/>
            <w:tcBorders>
              <w:top w:val="single" w:color="D0D7DE" w:sz="1"/>
              <w:left w:val="single" w:color="D0D7DE" w:sz="1"/>
              <w:bottom w:val="single" w:color="D0D7DE" w:sz="1"/>
              <w:right w:val="single" w:color="D0D7DE"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Source Framework</w:t>
            </w:r>
          </w:p>
        </w:tc>
        <w:tc>
          <w:tcPr>
            <w:tcW w:type="dxa" w:w="3000"/>
            <w:tcBorders>
              <w:top w:val="single" w:color="D0D7DE" w:sz="1"/>
              <w:left w:val="single" w:color="D0D7DE" w:sz="1"/>
              <w:bottom w:val="single" w:color="D0D7DE" w:sz="1"/>
              <w:right w:val="single" w:color="D0D7DE"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Core Outcome</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color w:val="0E7C86"/>
                <w:sz w:val="28"/>
                <w:szCs w:val="28"/>
              </w:rPr>
              <w:t xml:space="preserve">1</w:t>
            </w:r>
          </w:p>
        </w:tc>
        <w:tc>
          <w:tcPr>
            <w:tcW w:type="dxa" w:w="204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b/>
                <w:bCs/>
                <w:sz w:val="22"/>
                <w:szCs w:val="22"/>
              </w:rPr>
              <w:t xml:space="preserve">The Intelligence Audit</w:t>
            </w:r>
          </w:p>
        </w:tc>
        <w:tc>
          <w:tcPr>
            <w:tcW w:type="dxa" w:w="312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color w:val="0E7C86"/>
                <w:sz w:val="22"/>
                <w:szCs w:val="22"/>
              </w:rPr>
              <w:t xml:space="preserve">See-Think-Do-Care (Google)</w:t>
            </w:r>
          </w:p>
        </w:tc>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sz w:val="22"/>
                <w:szCs w:val="22"/>
              </w:rPr>
              <w:t xml:space="preserve">Map audience intent gaps; diagnose where the funnel is broken</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color w:val="0E7C86"/>
                <w:sz w:val="28"/>
                <w:szCs w:val="28"/>
              </w:rPr>
              <w:t xml:space="preserve">2</w:t>
            </w:r>
          </w:p>
        </w:tc>
        <w:tc>
          <w:tcPr>
            <w:tcW w:type="dxa" w:w="204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b/>
                <w:bCs/>
                <w:sz w:val="22"/>
                <w:szCs w:val="22"/>
              </w:rPr>
              <w:t xml:space="preserve">The Authority Engine</w:t>
            </w:r>
          </w:p>
        </w:tc>
        <w:tc>
          <w:tcPr>
            <w:tcW w:type="dxa" w:w="312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color w:val="0E7C86"/>
                <w:sz w:val="22"/>
                <w:szCs w:val="22"/>
              </w:rPr>
              <w:t xml:space="preserve">Pillar-and-Cluster (ClusterMagic)</w:t>
            </w:r>
          </w:p>
        </w:tc>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sz w:val="22"/>
                <w:szCs w:val="22"/>
              </w:rPr>
              <w:t xml:space="preserve">Build topical authority; dominate search and trust</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color w:val="0E7C86"/>
                <w:sz w:val="28"/>
                <w:szCs w:val="28"/>
              </w:rPr>
              <w:t xml:space="preserve">3</w:t>
            </w:r>
          </w:p>
        </w:tc>
        <w:tc>
          <w:tcPr>
            <w:tcW w:type="dxa" w:w="204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b/>
                <w:bCs/>
                <w:sz w:val="22"/>
                <w:szCs w:val="22"/>
              </w:rPr>
              <w:t xml:space="preserve">The Conversion Funnel</w:t>
            </w:r>
          </w:p>
        </w:tc>
        <w:tc>
          <w:tcPr>
            <w:tcW w:type="dxa" w:w="312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color w:val="0E7C86"/>
                <w:sz w:val="22"/>
                <w:szCs w:val="22"/>
              </w:rPr>
              <w:t xml:space="preserve">RACE Framework (Smart Insights)</w:t>
            </w:r>
          </w:p>
        </w:tc>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sz w:val="22"/>
                <w:szCs w:val="22"/>
              </w:rPr>
              <w:t xml:space="preserve">Define KPIs per lifecycle stage; convert traffic to revenue</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color w:val="0E7C86"/>
                <w:sz w:val="28"/>
                <w:szCs w:val="28"/>
              </w:rPr>
              <w:t xml:space="preserve">4</w:t>
            </w:r>
          </w:p>
        </w:tc>
        <w:tc>
          <w:tcPr>
            <w:tcW w:type="dxa" w:w="204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b/>
                <w:bCs/>
                <w:sz w:val="22"/>
                <w:szCs w:val="22"/>
              </w:rPr>
              <w:t xml:space="preserve">The Distribution Flywheel</w:t>
            </w:r>
          </w:p>
        </w:tc>
        <w:tc>
          <w:tcPr>
            <w:tcW w:type="dxa" w:w="312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color w:val="0E7C86"/>
                <w:sz w:val="22"/>
                <w:szCs w:val="22"/>
              </w:rPr>
              <w:t xml:space="preserve">Hub-and-Spoke (HubSpot)</w:t>
            </w:r>
          </w:p>
        </w:tc>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Arial" w:cs="Arial" w:eastAsia="Arial" w:hAnsi="Arial"/>
                <w:sz w:val="22"/>
                <w:szCs w:val="22"/>
              </w:rPr>
              <w:t xml:space="preserve">Maximise content ROI through systematic repurposing</w:t>
            </w:r>
          </w:p>
        </w:tc>
      </w:tr>
    </w:tbl>
    <w:p>
      <w:pPr>
        <w:spacing w:after="40" w:before="0"/>
      </w:pPr>
      <w:r>
        <w:t xml:space="preserve"/>
      </w:r>
    </w:p>
    <w:p>
      <w:pPr>
        <w:pStyle w:val="Heading2"/>
        <w:spacing w:after="120" w:before="240"/>
      </w:pPr>
      <w:r>
        <w:rPr>
          <w:rFonts w:ascii="Arial" w:cs="Arial" w:eastAsia="Arial" w:hAnsi="Arial"/>
          <w:b/>
          <w:bCs/>
          <w:color w:val="0E7C86"/>
          <w:sz w:val="28"/>
          <w:szCs w:val="28"/>
        </w:rPr>
        <w:t xml:space="preserve">Why This Architecture Works</w:t>
      </w:r>
    </w:p>
    <w:p>
      <w:pPr>
        <w:spacing w:after="140" w:before="0"/>
      </w:pPr>
      <w:r>
        <w:rPr>
          <w:rFonts w:ascii="Arial" w:cs="Arial" w:eastAsia="Arial" w:hAnsi="Arial"/>
          <w:sz w:val="22"/>
          <w:szCs w:val="22"/>
        </w:rPr>
        <w:t xml:space="preserve">Each phase of the Content-to-Capital Pipeline solves a different strategic problem — and solves it using the framework that was purpose-built for it. See-Think-Do-Care is the world's most rigorous intent-mapping model. Pillar-and-Cluster is the gold standard for search authority. RACE gives every KPI a lifecycle home. Hub-and-Spoke ensures no content investment is ever wasted.</w:t>
      </w:r>
    </w:p>
    <w:p>
      <w:pPr>
        <w:spacing w:after="20" w:before="0"/>
      </w:pPr>
      <w:r>
        <w:t xml:space="preserve"/>
      </w:r>
    </w:p>
    <w:p>
      <w:pPr>
        <w:spacing w:after="140" w:before="0"/>
      </w:pPr>
      <w:r>
        <w:rPr>
          <w:rFonts w:ascii="Arial" w:cs="Arial" w:eastAsia="Arial" w:hAnsi="Arial"/>
          <w:sz w:val="22"/>
          <w:szCs w:val="22"/>
        </w:rPr>
        <w:t xml:space="preserve">Individually, these frameworks are powerful. Fused into a single sequential system, they become something no competitor can easily replicate: a complete operating system for turning content into commercial capital.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6B72" w:val="clear"/>
            <w:tcMar>
              <w:top w:type="dxa" w:w="140"/>
              <w:left w:type="dxa" w:w="160"/>
              <w:bottom w:type="dxa" w:w="140"/>
              <w:right w:type="dxa" w:w="160"/>
            </w:tcMa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52"/>
                <w:szCs w:val="52"/>
              </w:rPr>
              <w:t xml:space="preserve">1</w:t>
            </w:r>
          </w:p>
        </w:tc>
        <w:tc>
          <w:tcPr>
            <w:tcW w:type="dxa" w:w="8160"/>
            <w:tcBorders>
              <w:top w:val="none" w:color="FFFFFF" w:sz="0"/>
              <w:left w:val="none" w:color="FFFFFF" w:sz="0"/>
              <w:bottom w:val="none" w:color="FFFFFF" w:sz="0"/>
              <w:right w:val="none" w:color="FFFFFF" w:sz="0"/>
            </w:tcBorders>
            <w:shd w:fill="F4F6F8" w:val="clear"/>
            <w:tcMar>
              <w:top w:type="dxa" w:w="140"/>
              <w:left w:type="dxa" w:w="240"/>
              <w:bottom w:type="dxa" w:w="140"/>
              <w:right w:type="dxa" w:w="160"/>
            </w:tcMar>
          </w:tcPr>
          <w:p>
            <w:r>
              <w:rPr>
                <w:rFonts w:ascii="Arial" w:cs="Arial" w:eastAsia="Arial" w:hAnsi="Arial"/>
                <w:b/>
                <w:bCs/>
                <w:color w:val="0D2137"/>
                <w:sz w:val="30"/>
                <w:szCs w:val="30"/>
              </w:rPr>
              <w:t xml:space="preserve">The Intelligence Audit</w:t>
            </w:r>
          </w:p>
          <w:p>
            <w:r>
              <w:rPr>
                <w:rFonts w:ascii="Arial" w:cs="Arial" w:eastAsia="Arial" w:hAnsi="Arial"/>
                <w:color w:val="1A6B72"/>
                <w:sz w:val="20"/>
                <w:szCs w:val="20"/>
              </w:rPr>
              <w:t xml:space="preserve">See-Think-Do-Care — Audience Intent Mapping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4F5" w:val="clear"/>
            <w:tcMar>
              <w:top w:type="dxa" w:w="100"/>
              <w:left w:type="dxa" w:w="160"/>
              <w:bottom w:type="dxa" w:w="100"/>
              <w:right w:type="dxa" w:w="160"/>
            </w:tcMar>
          </w:tcPr>
          <w:p>
            <w:r>
              <w:rPr>
                <w:rFonts w:ascii="Arial" w:cs="Arial" w:eastAsia="Arial" w:hAnsi="Arial"/>
                <w:b/>
                <w:bCs/>
                <w:color w:val="0E7C86"/>
                <w:sz w:val="20"/>
                <w:szCs w:val="20"/>
              </w:rPr>
              <w:t xml:space="preserve">OBJECTIVE</w:t>
            </w:r>
          </w:p>
          <w:p>
            <w:pPr>
              <w:spacing w:after="120" w:before="0"/>
            </w:pPr>
            <w:r>
              <w:rPr>
                <w:rFonts w:ascii="Arial" w:cs="Arial" w:eastAsia="Arial" w:hAnsi="Arial"/>
                <w:sz w:val="22"/>
                <w:szCs w:val="22"/>
              </w:rPr>
              <w:t xml:space="preserve">Identify exactly where the client's audience is stuck in the awareness-to-purchase journey. Diagnose content gaps at each intent stage before a single piece of content is commissioned.</w:t>
            </w:r>
          </w:p>
          <w:p>
            <w:pPr>
              <w:spacing w:after="20" w:before="0"/>
            </w:pPr>
            <w:r>
              <w:t xml:space="preserve"/>
            </w:r>
          </w:p>
          <w:p>
            <w:r>
              <w:rPr>
                <w:rFonts w:ascii="Arial" w:cs="Arial" w:eastAsia="Arial" w:hAnsi="Arial"/>
                <w:b/>
                <w:bCs/>
                <w:color w:val="0E7C86"/>
                <w:sz w:val="20"/>
                <w:szCs w:val="20"/>
              </w:rPr>
              <w:t xml:space="preserve">SOURCE FRAMEWORK</w:t>
            </w:r>
          </w:p>
          <w:p>
            <w:pPr>
              <w:spacing w:after="60" w:before="0"/>
            </w:pPr>
            <w:r>
              <w:rPr>
                <w:rFonts w:ascii="Arial" w:cs="Arial" w:eastAsia="Arial" w:hAnsi="Arial"/>
                <w:sz w:val="22"/>
                <w:szCs w:val="22"/>
              </w:rPr>
              <w:t xml:space="preserve">See-Think-Do-Care (Google/Think with Google)</w:t>
            </w:r>
          </w:p>
          <w:p>
            <w:pPr>
              <w:spacing w:after="120" w:before="0"/>
            </w:pPr>
            <w:r>
              <w:rPr>
                <w:rFonts w:ascii="Arial" w:cs="Arial" w:eastAsia="Arial" w:hAnsi="Arial"/>
                <w:sz w:val="22"/>
                <w:szCs w:val="22"/>
              </w:rPr>
              <w:t xml:space="preserve">The most rigorous intent-stage model ever published for consumer behaviour mapping. Unlike the traditional marketing funnel, STDC maps content to the psychological state of the reader — not just their position in a pipeline.</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b/>
                <w:bCs/>
                <w:color w:val="0D2137"/>
                <w:sz w:val="20"/>
                <w:szCs w:val="20"/>
              </w:rPr>
              <w:t xml:space="preserve">THE 4 INTENT STAGES</w:t>
            </w:r>
          </w:p>
          <w:p>
            <w:pPr>
              <w:spacing w:after="20" w:before="0"/>
            </w:pPr>
            <w:r>
              <w:t xml:space="preserve"/>
            </w:r>
          </w:p>
          <w:p>
            <w:pPr>
              <w:pStyle w:val="ListParagraph"/>
              <w:numPr>
                <w:ilvl w:val="0"/>
                <w:numId w:val="2"/>
              </w:numPr>
              <w:spacing w:after="80" w:before="0"/>
            </w:pPr>
            <w:r>
              <w:rPr>
                <w:rFonts w:ascii="Arial" w:cs="Arial" w:eastAsia="Arial" w:hAnsi="Arial"/>
                <w:sz w:val="22"/>
                <w:szCs w:val="22"/>
              </w:rPr>
              <w:t xml:space="preserve">SEE — Largest addressable audience. Have a need but are not actively looking. Content goal: brand awareness, education.</w:t>
            </w:r>
          </w:p>
          <w:p>
            <w:pPr>
              <w:pStyle w:val="ListParagraph"/>
              <w:numPr>
                <w:ilvl w:val="0"/>
                <w:numId w:val="2"/>
              </w:numPr>
              <w:spacing w:after="80" w:before="0"/>
            </w:pPr>
            <w:r>
              <w:rPr>
                <w:rFonts w:ascii="Arial" w:cs="Arial" w:eastAsia="Arial" w:hAnsi="Arial"/>
                <w:sz w:val="22"/>
                <w:szCs w:val="22"/>
              </w:rPr>
              <w:t xml:space="preserve">THINK — Have some commercial intent. Researching options. Content goal: consideration, authority, trust.</w:t>
            </w:r>
          </w:p>
          <w:p>
            <w:pPr>
              <w:pStyle w:val="ListParagraph"/>
              <w:numPr>
                <w:ilvl w:val="0"/>
                <w:numId w:val="2"/>
              </w:numPr>
              <w:spacing w:after="80" w:before="0"/>
            </w:pPr>
            <w:r>
              <w:rPr>
                <w:rFonts w:ascii="Arial" w:cs="Arial" w:eastAsia="Arial" w:hAnsi="Arial"/>
                <w:sz w:val="22"/>
                <w:szCs w:val="22"/>
              </w:rPr>
              <w:t xml:space="preserve">DO — Ready to buy. Actively comparing. Content goal: conversion, proof, urgency.</w:t>
            </w:r>
          </w:p>
          <w:p>
            <w:pPr>
              <w:pStyle w:val="ListParagraph"/>
              <w:numPr>
                <w:ilvl w:val="0"/>
                <w:numId w:val="2"/>
              </w:numPr>
              <w:spacing w:after="80" w:before="0"/>
            </w:pPr>
            <w:r>
              <w:rPr>
                <w:rFonts w:ascii="Arial" w:cs="Arial" w:eastAsia="Arial" w:hAnsi="Arial"/>
                <w:sz w:val="22"/>
                <w:szCs w:val="22"/>
              </w:rPr>
              <w:t xml:space="preserve">CARE — Existing customers. Content goal: retention, upsell, advocacy.</w:t>
            </w:r>
          </w:p>
        </w:tc>
      </w:tr>
    </w:tbl>
    <w:p>
      <w:pPr>
        <w:spacing w:after="40" w:before="0"/>
      </w:pPr>
      <w:r>
        <w:t xml:space="preserve"/>
      </w:r>
    </w:p>
    <w:p>
      <w:pPr>
        <w:pStyle w:val="Heading3"/>
        <w:spacing w:after="80" w:before="180"/>
      </w:pPr>
      <w:r>
        <w:rPr>
          <w:rFonts w:ascii="Arial" w:cs="Arial" w:eastAsia="Arial" w:hAnsi="Arial"/>
          <w:b/>
          <w:bCs/>
          <w:color w:val="0D2137"/>
          <w:sz w:val="24"/>
          <w:szCs w:val="24"/>
        </w:rPr>
        <w:t xml:space="preserve">Phase 1 Methodology</w:t>
      </w:r>
    </w:p>
    <w:p>
      <w:pPr>
        <w:spacing w:after="140" w:before="0"/>
      </w:pPr>
      <w:r>
        <w:rPr>
          <w:rFonts w:ascii="Arial" w:cs="Arial" w:eastAsia="Arial" w:hAnsi="Arial"/>
          <w:sz w:val="22"/>
          <w:szCs w:val="22"/>
        </w:rPr>
        <w:t xml:space="preserve">The audit begins by mapping the client's entire content library against the four STDC intent stages. Every asset — web page, blog post, social content, video, email — is classified. The result is a Content Intent Gap Map: a visual breakdown of where the client is investing content effort versus where their audience actually needs to be met.</w:t>
      </w:r>
    </w:p>
    <w:p>
      <w:pPr>
        <w:spacing w:after="20" w:before="0"/>
      </w:pPr>
      <w:r>
        <w:t xml:space="preserve"/>
      </w:r>
    </w:p>
    <w:p>
      <w:pPr>
        <w:pStyle w:val="Heading3"/>
        <w:spacing w:after="80" w:before="180"/>
      </w:pPr>
      <w:r>
        <w:rPr>
          <w:rFonts w:ascii="Arial" w:cs="Arial" w:eastAsia="Arial" w:hAnsi="Arial"/>
          <w:b/>
          <w:bCs/>
          <w:color w:val="0D2137"/>
          <w:sz w:val="24"/>
          <w:szCs w:val="24"/>
        </w:rPr>
        <w:t xml:space="preserve">Actionable Checklist</w:t>
      </w:r>
    </w:p>
    <w:p>
      <w:pPr>
        <w:pStyle w:val="ListParagraph"/>
        <w:numPr>
          <w:ilvl w:val="0"/>
          <w:numId w:val="3"/>
        </w:numPr>
        <w:spacing w:after="60" w:before="0"/>
      </w:pPr>
      <w:r>
        <w:rPr>
          <w:rFonts w:ascii="Arial" w:cs="Arial" w:eastAsia="Arial" w:hAnsi="Arial"/>
          <w:sz w:val="22"/>
          <w:szCs w:val="22"/>
        </w:rPr>
        <w:t xml:space="preserve">✓ Audit all existing content assets and classify by STDC stage</w:t>
      </w:r>
    </w:p>
    <w:p>
      <w:pPr>
        <w:pStyle w:val="ListParagraph"/>
        <w:numPr>
          <w:ilvl w:val="0"/>
          <w:numId w:val="3"/>
        </w:numPr>
        <w:spacing w:after="60" w:before="0"/>
      </w:pPr>
      <w:r>
        <w:rPr>
          <w:rFonts w:ascii="Arial" w:cs="Arial" w:eastAsia="Arial" w:hAnsi="Arial"/>
          <w:sz w:val="22"/>
          <w:szCs w:val="22"/>
        </w:rPr>
        <w:t xml:space="preserve">✓ Map competitor content to the same framework — identify their gaps</w:t>
      </w:r>
    </w:p>
    <w:p>
      <w:pPr>
        <w:pStyle w:val="ListParagraph"/>
        <w:numPr>
          <w:ilvl w:val="0"/>
          <w:numId w:val="3"/>
        </w:numPr>
        <w:spacing w:after="60" w:before="0"/>
      </w:pPr>
      <w:r>
        <w:rPr>
          <w:rFonts w:ascii="Arial" w:cs="Arial" w:eastAsia="Arial" w:hAnsi="Arial"/>
          <w:sz w:val="22"/>
          <w:szCs w:val="22"/>
        </w:rPr>
        <w:t xml:space="preserve">✓ Interview or survey 5–10 customers: where did they first encounter the brand? What almost stopped them buying?</w:t>
      </w:r>
    </w:p>
    <w:p>
      <w:pPr>
        <w:pStyle w:val="ListParagraph"/>
        <w:numPr>
          <w:ilvl w:val="0"/>
          <w:numId w:val="3"/>
        </w:numPr>
        <w:spacing w:after="60" w:before="0"/>
      </w:pPr>
      <w:r>
        <w:rPr>
          <w:rFonts w:ascii="Arial" w:cs="Arial" w:eastAsia="Arial" w:hAnsi="Arial"/>
          <w:sz w:val="22"/>
          <w:szCs w:val="22"/>
        </w:rPr>
        <w:t xml:space="preserve">✓ Identify the single most under-served intent stage (most clients have strong DO content, almost no THINK content)</w:t>
      </w:r>
    </w:p>
    <w:p>
      <w:pPr>
        <w:pStyle w:val="ListParagraph"/>
        <w:numPr>
          <w:ilvl w:val="0"/>
          <w:numId w:val="3"/>
        </w:numPr>
        <w:spacing w:after="60" w:before="0"/>
      </w:pPr>
      <w:r>
        <w:rPr>
          <w:rFonts w:ascii="Arial" w:cs="Arial" w:eastAsia="Arial" w:hAnsi="Arial"/>
          <w:sz w:val="22"/>
          <w:szCs w:val="22"/>
        </w:rPr>
        <w:t xml:space="preserve">✓ Score the gap: % of content at each stage vs % of audience at each stage</w:t>
      </w:r>
    </w:p>
    <w:p>
      <w:pPr>
        <w:pStyle w:val="ListParagraph"/>
        <w:numPr>
          <w:ilvl w:val="0"/>
          <w:numId w:val="3"/>
        </w:numPr>
        <w:spacing w:after="60" w:before="0"/>
      </w:pPr>
      <w:r>
        <w:rPr>
          <w:rFonts w:ascii="Arial" w:cs="Arial" w:eastAsia="Arial" w:hAnsi="Arial"/>
          <w:sz w:val="22"/>
          <w:szCs w:val="22"/>
        </w:rPr>
        <w:t xml:space="preserve">✓ Build the Content Intent Gap Map (visual deliverable for client)</w:t>
      </w:r>
    </w:p>
    <w:p>
      <w:pPr>
        <w:spacing w:after="40" w:before="0"/>
      </w:pPr>
      <w:r>
        <w:t xml:space="preserve"/>
      </w:r>
    </w:p>
    <w:p>
      <w:pPr>
        <w:pStyle w:val="Heading3"/>
        <w:spacing w:after="80" w:before="180"/>
      </w:pPr>
      <w:r>
        <w:rPr>
          <w:rFonts w:ascii="Arial" w:cs="Arial" w:eastAsia="Arial" w:hAnsi="Arial"/>
          <w:b/>
          <w:bCs/>
          <w:color w:val="0D2137"/>
          <w:sz w:val="24"/>
          <w:szCs w:val="24"/>
        </w:rPr>
        <w:t xml:space="preserve">Phase 1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0D2137"/>
                <w:sz w:val="22"/>
                <w:szCs w:val="22"/>
              </w:rPr>
              <w:t xml:space="preserve">Document</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Content Intelligence Report — full audit findings, gap analysis, and prioritised recommendations</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0D2137"/>
                <w:sz w:val="22"/>
                <w:szCs w:val="22"/>
              </w:rPr>
              <w:t xml:space="preserve">Visual</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Content Intent Gap Map — 2×2 or quadrant chart showing content volume vs audience intent distribution</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0D2137"/>
                <w:sz w:val="22"/>
                <w:szCs w:val="22"/>
              </w:rPr>
              <w:t xml:space="preserve">Data</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Content inventory spreadsheet categorised by STDC stage, format, and performance metric</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0D2137"/>
                <w:sz w:val="22"/>
                <w:szCs w:val="22"/>
              </w:rPr>
              <w:t xml:space="preserve">Insight</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The Stuck Moment — a one-paragraph strategic narrative pinpointing exactly where audience drop-off occurs</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0D2137"/>
                <w:sz w:val="22"/>
                <w:szCs w:val="22"/>
              </w:rPr>
              <w:t xml:space="preserve">Duration</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2–3 weeks. Delivered as a formal presentation to the client's marketing leadership.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6B3E" w:val="clear"/>
            <w:tcMar>
              <w:top w:type="dxa" w:w="140"/>
              <w:left w:type="dxa" w:w="160"/>
              <w:bottom w:type="dxa" w:w="140"/>
              <w:right w:type="dxa" w:w="160"/>
            </w:tcMa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52"/>
                <w:szCs w:val="52"/>
              </w:rPr>
              <w:t xml:space="preserve">2</w:t>
            </w:r>
          </w:p>
        </w:tc>
        <w:tc>
          <w:tcPr>
            <w:tcW w:type="dxa" w:w="8160"/>
            <w:tcBorders>
              <w:top w:val="none" w:color="FFFFFF" w:sz="0"/>
              <w:left w:val="none" w:color="FFFFFF" w:sz="0"/>
              <w:bottom w:val="none" w:color="FFFFFF" w:sz="0"/>
              <w:right w:val="none" w:color="FFFFFF" w:sz="0"/>
            </w:tcBorders>
            <w:shd w:fill="F4F6F8" w:val="clear"/>
            <w:tcMar>
              <w:top w:type="dxa" w:w="140"/>
              <w:left w:type="dxa" w:w="240"/>
              <w:bottom w:type="dxa" w:w="140"/>
              <w:right w:type="dxa" w:w="160"/>
            </w:tcMar>
          </w:tcPr>
          <w:p>
            <w:r>
              <w:rPr>
                <w:rFonts w:ascii="Arial" w:cs="Arial" w:eastAsia="Arial" w:hAnsi="Arial"/>
                <w:b/>
                <w:bCs/>
                <w:color w:val="0D2137"/>
                <w:sz w:val="30"/>
                <w:szCs w:val="30"/>
              </w:rPr>
              <w:t xml:space="preserve">The Authority Engine</w:t>
            </w:r>
          </w:p>
          <w:p>
            <w:r>
              <w:rPr>
                <w:rFonts w:ascii="Arial" w:cs="Arial" w:eastAsia="Arial" w:hAnsi="Arial"/>
                <w:color w:val="0D6B3E"/>
                <w:sz w:val="20"/>
                <w:szCs w:val="20"/>
              </w:rPr>
              <w:t xml:space="preserve">Pillar-and-Cluster — Topical Authority Architecture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E" w:val="clear"/>
            <w:tcMar>
              <w:top w:type="dxa" w:w="100"/>
              <w:left w:type="dxa" w:w="160"/>
              <w:bottom w:type="dxa" w:w="100"/>
              <w:right w:type="dxa" w:w="160"/>
            </w:tcMar>
          </w:tcPr>
          <w:p>
            <w:r>
              <w:rPr>
                <w:rFonts w:ascii="Arial" w:cs="Arial" w:eastAsia="Arial" w:hAnsi="Arial"/>
                <w:b/>
                <w:bCs/>
                <w:color w:val="0E7C86"/>
                <w:sz w:val="20"/>
                <w:szCs w:val="20"/>
              </w:rPr>
              <w:t xml:space="preserve">OBJECTIVE</w:t>
            </w:r>
          </w:p>
          <w:p>
            <w:pPr>
              <w:spacing w:after="120" w:before="0"/>
            </w:pPr>
            <w:r>
              <w:rPr>
                <w:rFonts w:ascii="Arial" w:cs="Arial" w:eastAsia="Arial" w:hAnsi="Arial"/>
                <w:sz w:val="22"/>
                <w:szCs w:val="22"/>
              </w:rPr>
              <w:t xml:space="preserve">Build the content infrastructure that makes the client the undisputed authority in their niche — in search engines, in their audience's minds, and against every competitor in their category.</w:t>
            </w:r>
          </w:p>
          <w:p>
            <w:pPr>
              <w:spacing w:after="20" w:before="0"/>
            </w:pPr>
            <w:r>
              <w:t xml:space="preserve"/>
            </w:r>
          </w:p>
          <w:p>
            <w:r>
              <w:rPr>
                <w:rFonts w:ascii="Arial" w:cs="Arial" w:eastAsia="Arial" w:hAnsi="Arial"/>
                <w:b/>
                <w:bCs/>
                <w:color w:val="0E7C86"/>
                <w:sz w:val="20"/>
                <w:szCs w:val="20"/>
              </w:rPr>
              <w:t xml:space="preserve">SOURCE FRAMEWORK</w:t>
            </w:r>
          </w:p>
          <w:p>
            <w:pPr>
              <w:spacing w:after="60" w:before="0"/>
            </w:pPr>
            <w:r>
              <w:rPr>
                <w:rFonts w:ascii="Arial" w:cs="Arial" w:eastAsia="Arial" w:hAnsi="Arial"/>
                <w:sz w:val="22"/>
                <w:szCs w:val="22"/>
              </w:rPr>
              <w:t xml:space="preserve">Pillar-and-Cluster Content Architecture (ClusterMagic / HubSpot)</w:t>
            </w:r>
          </w:p>
          <w:p>
            <w:pPr>
              <w:spacing w:after="120" w:before="0"/>
            </w:pPr>
            <w:r>
              <w:rPr>
                <w:rFonts w:ascii="Arial" w:cs="Arial" w:eastAsia="Arial" w:hAnsi="Arial"/>
                <w:sz w:val="22"/>
                <w:szCs w:val="22"/>
              </w:rPr>
              <w:t xml:space="preserve">The content architecture standard that transformed SEO from keyword targeting to topical authority. Adopted by the world's highest-ranking B2B brands.</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b/>
                <w:bCs/>
                <w:color w:val="0D2137"/>
                <w:sz w:val="20"/>
                <w:szCs w:val="20"/>
              </w:rPr>
              <w:t xml:space="preserve">THE ARCHITECTURE</w:t>
            </w:r>
          </w:p>
          <w:p>
            <w:pPr>
              <w:spacing w:after="20" w:before="0"/>
            </w:pPr>
            <w:r>
              <w:t xml:space="preserve"/>
            </w:r>
          </w:p>
          <w:p>
            <w:pPr>
              <w:pStyle w:val="ListParagraph"/>
              <w:numPr>
                <w:ilvl w:val="0"/>
                <w:numId w:val="2"/>
              </w:numPr>
              <w:spacing w:after="80" w:before="0"/>
            </w:pPr>
            <w:r>
              <w:rPr>
                <w:rFonts w:ascii="Arial" w:cs="Arial" w:eastAsia="Arial" w:hAnsi="Arial"/>
                <w:sz w:val="22"/>
                <w:szCs w:val="22"/>
              </w:rPr>
              <w:t xml:space="preserve">PILLAR PAGE — A comprehensive, definitive 3,000–5,000 word resource on a core topic. The single authoritative page Google should rank #1 for the most important keyword.</w:t>
            </w:r>
          </w:p>
          <w:p>
            <w:pPr>
              <w:pStyle w:val="ListParagraph"/>
              <w:numPr>
                <w:ilvl w:val="0"/>
                <w:numId w:val="2"/>
              </w:numPr>
              <w:spacing w:after="80" w:before="0"/>
            </w:pPr>
            <w:r>
              <w:rPr>
                <w:rFonts w:ascii="Arial" w:cs="Arial" w:eastAsia="Arial" w:hAnsi="Arial"/>
                <w:sz w:val="22"/>
                <w:szCs w:val="22"/>
              </w:rPr>
              <w:t xml:space="preserve">CLUSTER PAGES — 8–15 supporting pages, each addressing a specific sub-topic that links back to the pillar. Together they signal topical depth.</w:t>
            </w:r>
          </w:p>
          <w:p>
            <w:pPr>
              <w:pStyle w:val="ListParagraph"/>
              <w:numPr>
                <w:ilvl w:val="0"/>
                <w:numId w:val="2"/>
              </w:numPr>
              <w:spacing w:after="80" w:before="0"/>
            </w:pPr>
            <w:r>
              <w:rPr>
                <w:rFonts w:ascii="Arial" w:cs="Arial" w:eastAsia="Arial" w:hAnsi="Arial"/>
                <w:sz w:val="22"/>
                <w:szCs w:val="22"/>
              </w:rPr>
              <w:t xml:space="preserve">INTERNAL LINK ARCHITECTURE — Every cluster page links to the pillar. The pillar links to all clusters. This signals to search engines that the entire topic is owned.</w:t>
            </w:r>
          </w:p>
          <w:p>
            <w:pPr>
              <w:pStyle w:val="ListParagraph"/>
              <w:numPr>
                <w:ilvl w:val="0"/>
                <w:numId w:val="2"/>
              </w:numPr>
              <w:spacing w:after="80" w:before="0"/>
            </w:pPr>
            <w:r>
              <w:rPr>
                <w:rFonts w:ascii="Arial" w:cs="Arial" w:eastAsia="Arial" w:hAnsi="Arial"/>
                <w:sz w:val="22"/>
                <w:szCs w:val="22"/>
              </w:rPr>
              <w:t xml:space="preserve">CONTENT GAP FILLING — Identified from the Phase 1 audit. Each gap in the THINK stage is filled with a cluster page.</w:t>
            </w:r>
          </w:p>
        </w:tc>
      </w:tr>
    </w:tbl>
    <w:p>
      <w:pPr>
        <w:spacing w:after="40" w:before="0"/>
      </w:pPr>
      <w:r>
        <w:t xml:space="preserve"/>
      </w:r>
    </w:p>
    <w:p>
      <w:pPr>
        <w:pStyle w:val="Heading3"/>
        <w:spacing w:after="80" w:before="180"/>
      </w:pPr>
      <w:r>
        <w:rPr>
          <w:rFonts w:ascii="Arial" w:cs="Arial" w:eastAsia="Arial" w:hAnsi="Arial"/>
          <w:b/>
          <w:bCs/>
          <w:color w:val="0D2137"/>
          <w:sz w:val="24"/>
          <w:szCs w:val="24"/>
        </w:rPr>
        <w:t xml:space="preserve">Phase 2 Methodology</w:t>
      </w:r>
    </w:p>
    <w:p>
      <w:pPr>
        <w:spacing w:after="140" w:before="0"/>
      </w:pPr>
      <w:r>
        <w:rPr>
          <w:rFonts w:ascii="Arial" w:cs="Arial" w:eastAsia="Arial" w:hAnsi="Arial"/>
          <w:sz w:val="22"/>
          <w:szCs w:val="22"/>
        </w:rPr>
        <w:t xml:space="preserve">Using the Content Intent Gap Map from Phase 1, DigiFusion identifies 2–3 core pillar topics — the highest-value, highest-volume keywords the client should own. For each pillar, we design a cluster architecture: 8–15 subtopics that build surrounding authority. The client's existing content is mapped into this architecture. New content is commissioned only to fill genuine gaps.</w:t>
      </w:r>
    </w:p>
    <w:p>
      <w:pPr>
        <w:spacing w:after="20" w:before="0"/>
      </w:pPr>
      <w:r>
        <w:t xml:space="preserve"/>
      </w:r>
    </w:p>
    <w:p>
      <w:pPr>
        <w:pStyle w:val="Heading3"/>
        <w:spacing w:after="80" w:before="180"/>
      </w:pPr>
      <w:r>
        <w:rPr>
          <w:rFonts w:ascii="Arial" w:cs="Arial" w:eastAsia="Arial" w:hAnsi="Arial"/>
          <w:b/>
          <w:bCs/>
          <w:color w:val="0D2137"/>
          <w:sz w:val="24"/>
          <w:szCs w:val="24"/>
        </w:rPr>
        <w:t xml:space="preserve">Actionable Checklist</w:t>
      </w:r>
    </w:p>
    <w:p>
      <w:pPr>
        <w:pStyle w:val="ListParagraph"/>
        <w:numPr>
          <w:ilvl w:val="0"/>
          <w:numId w:val="3"/>
        </w:numPr>
        <w:spacing w:after="60" w:before="0"/>
      </w:pPr>
      <w:r>
        <w:rPr>
          <w:rFonts w:ascii="Arial" w:cs="Arial" w:eastAsia="Arial" w:hAnsi="Arial"/>
          <w:sz w:val="22"/>
          <w:szCs w:val="22"/>
        </w:rPr>
        <w:t xml:space="preserve">✓ Identify 2–3 core pillar topics from Phase 1 gap analysis — minimum 1,000 monthly searches, owned by competitor or completely unowned</w:t>
      </w:r>
    </w:p>
    <w:p>
      <w:pPr>
        <w:pStyle w:val="ListParagraph"/>
        <w:numPr>
          <w:ilvl w:val="0"/>
          <w:numId w:val="3"/>
        </w:numPr>
        <w:spacing w:after="60" w:before="0"/>
      </w:pPr>
      <w:r>
        <w:rPr>
          <w:rFonts w:ascii="Arial" w:cs="Arial" w:eastAsia="Arial" w:hAnsi="Arial"/>
          <w:sz w:val="22"/>
          <w:szCs w:val="22"/>
        </w:rPr>
        <w:t xml:space="preserve">✓ Map 8–15 cluster topics per pillar — focus on THINK-stage intent from the STDC audit</w:t>
      </w:r>
    </w:p>
    <w:p>
      <w:pPr>
        <w:pStyle w:val="ListParagraph"/>
        <w:numPr>
          <w:ilvl w:val="0"/>
          <w:numId w:val="3"/>
        </w:numPr>
        <w:spacing w:after="60" w:before="0"/>
      </w:pPr>
      <w:r>
        <w:rPr>
          <w:rFonts w:ascii="Arial" w:cs="Arial" w:eastAsia="Arial" w:hAnsi="Arial"/>
          <w:sz w:val="22"/>
          <w:szCs w:val="22"/>
        </w:rPr>
        <w:t xml:space="preserve">✓ Audit existing content: tag every asset as pillar, cluster, or orphan</w:t>
      </w:r>
    </w:p>
    <w:p>
      <w:pPr>
        <w:pStyle w:val="ListParagraph"/>
        <w:numPr>
          <w:ilvl w:val="0"/>
          <w:numId w:val="3"/>
        </w:numPr>
        <w:spacing w:after="60" w:before="0"/>
      </w:pPr>
      <w:r>
        <w:rPr>
          <w:rFonts w:ascii="Arial" w:cs="Arial" w:eastAsia="Arial" w:hAnsi="Arial"/>
          <w:sz w:val="22"/>
          <w:szCs w:val="22"/>
        </w:rPr>
        <w:t xml:space="preserve">✓ Commission or repurpose missing cluster content (Hub-and-Spoke from Phase 4 provides the production system)</w:t>
      </w:r>
    </w:p>
    <w:p>
      <w:pPr>
        <w:pStyle w:val="ListParagraph"/>
        <w:numPr>
          <w:ilvl w:val="0"/>
          <w:numId w:val="3"/>
        </w:numPr>
        <w:spacing w:after="60" w:before="0"/>
      </w:pPr>
      <w:r>
        <w:rPr>
          <w:rFonts w:ascii="Arial" w:cs="Arial" w:eastAsia="Arial" w:hAnsi="Arial"/>
          <w:sz w:val="22"/>
          <w:szCs w:val="22"/>
        </w:rPr>
        <w:t xml:space="preserve">✓ Build internal linking structure — every cluster links to its pillar, pillar links to all clusters</w:t>
      </w:r>
    </w:p>
    <w:p>
      <w:pPr>
        <w:pStyle w:val="ListParagraph"/>
        <w:numPr>
          <w:ilvl w:val="0"/>
          <w:numId w:val="3"/>
        </w:numPr>
        <w:spacing w:after="60" w:before="0"/>
      </w:pPr>
      <w:r>
        <w:rPr>
          <w:rFonts w:ascii="Arial" w:cs="Arial" w:eastAsia="Arial" w:hAnsi="Arial"/>
          <w:sz w:val="22"/>
          <w:szCs w:val="22"/>
        </w:rPr>
        <w:t xml:space="preserve">✓ Establish update cadence: pillar pages refreshed quarterly, clusters monthly</w:t>
      </w:r>
    </w:p>
    <w:p>
      <w:pPr>
        <w:spacing w:after="40" w:before="0"/>
      </w:pPr>
      <w:r>
        <w:t xml:space="preserve"/>
      </w:r>
    </w:p>
    <w:p>
      <w:pPr>
        <w:pStyle w:val="Heading3"/>
        <w:spacing w:after="80" w:before="180"/>
      </w:pPr>
      <w:r>
        <w:rPr>
          <w:rFonts w:ascii="Arial" w:cs="Arial" w:eastAsia="Arial" w:hAnsi="Arial"/>
          <w:b/>
          <w:bCs/>
          <w:color w:val="0D2137"/>
          <w:sz w:val="24"/>
          <w:szCs w:val="24"/>
        </w:rPr>
        <w:t xml:space="preserve">Phase 2 Deliverable</w:t>
      </w:r>
    </w:p>
    <w:p>
      <w:pPr>
        <w:spacing w:after="80" w:before="0"/>
      </w:pPr>
      <w:r>
        <w:rPr>
          <w:rFonts w:ascii="Arial" w:cs="Arial" w:eastAsia="Arial" w:hAnsi="Arial"/>
          <w:b/>
          <w:bCs/>
          <w:color w:val="0D2137"/>
          <w:sz w:val="22"/>
          <w:szCs w:val="22"/>
        </w:rPr>
        <w:t xml:space="preserve">Document: </w:t>
      </w:r>
      <w:r>
        <w:rPr>
          <w:rFonts w:ascii="Arial" w:cs="Arial" w:eastAsia="Arial" w:hAnsi="Arial"/>
          <w:sz w:val="22"/>
          <w:szCs w:val="22"/>
        </w:rPr>
        <w:t xml:space="preserve">Content Architecture Blueprint — visual pillar-cluster map for each chosen topic</w:t>
      </w:r>
    </w:p>
    <w:p>
      <w:pPr>
        <w:spacing w:after="80" w:before="0"/>
      </w:pPr>
      <w:r>
        <w:rPr>
          <w:rFonts w:ascii="Arial" w:cs="Arial" w:eastAsia="Arial" w:hAnsi="Arial"/>
          <w:b/>
          <w:bCs/>
          <w:color w:val="0D2137"/>
          <w:sz w:val="22"/>
          <w:szCs w:val="22"/>
        </w:rPr>
        <w:t xml:space="preserve">Content: </w:t>
      </w:r>
      <w:r>
        <w:rPr>
          <w:rFonts w:ascii="Arial" w:cs="Arial" w:eastAsia="Arial" w:hAnsi="Arial"/>
          <w:sz w:val="22"/>
          <w:szCs w:val="22"/>
        </w:rPr>
        <w:t xml:space="preserve">90-Day Editorial Calendar — sequenced content plan filling gaps in priority order</w:t>
      </w:r>
    </w:p>
    <w:p>
      <w:pPr>
        <w:spacing w:after="80" w:before="0"/>
      </w:pPr>
      <w:r>
        <w:rPr>
          <w:rFonts w:ascii="Arial" w:cs="Arial" w:eastAsia="Arial" w:hAnsi="Arial"/>
          <w:b/>
          <w:bCs/>
          <w:color w:val="0D2137"/>
          <w:sz w:val="22"/>
          <w:szCs w:val="22"/>
        </w:rPr>
        <w:t xml:space="preserve">Template: </w:t>
      </w:r>
      <w:r>
        <w:rPr>
          <w:rFonts w:ascii="Arial" w:cs="Arial" w:eastAsia="Arial" w:hAnsi="Arial"/>
          <w:sz w:val="22"/>
          <w:szCs w:val="22"/>
        </w:rPr>
        <w:t xml:space="preserve">Pillar Page Brief Template — repeatable brief format for commissioning authority content</w:t>
      </w:r>
    </w:p>
    <w:p>
      <w:pPr>
        <w:spacing w:after="80" w:before="0"/>
      </w:pPr>
      <w:r>
        <w:rPr>
          <w:rFonts w:ascii="Arial" w:cs="Arial" w:eastAsia="Arial" w:hAnsi="Arial"/>
          <w:b/>
          <w:bCs/>
          <w:color w:val="0D2137"/>
          <w:sz w:val="22"/>
          <w:szCs w:val="22"/>
        </w:rPr>
        <w:t xml:space="preserve">SEO Asset: </w:t>
      </w:r>
      <w:r>
        <w:rPr>
          <w:rFonts w:ascii="Arial" w:cs="Arial" w:eastAsia="Arial" w:hAnsi="Arial"/>
          <w:sz w:val="22"/>
          <w:szCs w:val="22"/>
        </w:rPr>
        <w:t xml:space="preserve">Keyword-to-Cluster Mapping Sheet — every target keyword assigned to its cluster page</w:t>
      </w:r>
    </w:p>
    <w:p>
      <w:pPr>
        <w:spacing w:after="80" w:before="0"/>
      </w:pPr>
      <w:r>
        <w:rPr>
          <w:rFonts w:ascii="Arial" w:cs="Arial" w:eastAsia="Arial" w:hAnsi="Arial"/>
          <w:b/>
          <w:bCs/>
          <w:color w:val="0D2137"/>
          <w:sz w:val="22"/>
          <w:szCs w:val="22"/>
        </w:rPr>
        <w:t xml:space="preserve">Duration: </w:t>
      </w:r>
      <w:r>
        <w:rPr>
          <w:rFonts w:ascii="Arial" w:cs="Arial" w:eastAsia="Arial" w:hAnsi="Arial"/>
          <w:sz w:val="22"/>
          <w:szCs w:val="22"/>
        </w:rPr>
        <w:t xml:space="preserve">3–4 weeks to design; 90 days to execute the first content sprint.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B3A0D" w:val="clear"/>
            <w:tcMar>
              <w:top w:type="dxa" w:w="140"/>
              <w:left w:type="dxa" w:w="160"/>
              <w:bottom w:type="dxa" w:w="140"/>
              <w:right w:type="dxa" w:w="160"/>
            </w:tcMa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52"/>
                <w:szCs w:val="52"/>
              </w:rPr>
              <w:t xml:space="preserve">3</w:t>
            </w:r>
          </w:p>
        </w:tc>
        <w:tc>
          <w:tcPr>
            <w:tcW w:type="dxa" w:w="8160"/>
            <w:tcBorders>
              <w:top w:val="none" w:color="FFFFFF" w:sz="0"/>
              <w:left w:val="none" w:color="FFFFFF" w:sz="0"/>
              <w:bottom w:val="none" w:color="FFFFFF" w:sz="0"/>
              <w:right w:val="none" w:color="FFFFFF" w:sz="0"/>
            </w:tcBorders>
            <w:shd w:fill="F4F6F8" w:val="clear"/>
            <w:tcMar>
              <w:top w:type="dxa" w:w="140"/>
              <w:left w:type="dxa" w:w="240"/>
              <w:bottom w:type="dxa" w:w="140"/>
              <w:right w:type="dxa" w:w="160"/>
            </w:tcMar>
          </w:tcPr>
          <w:p>
            <w:r>
              <w:rPr>
                <w:rFonts w:ascii="Arial" w:cs="Arial" w:eastAsia="Arial" w:hAnsi="Arial"/>
                <w:b/>
                <w:bCs/>
                <w:color w:val="0D2137"/>
                <w:sz w:val="30"/>
                <w:szCs w:val="30"/>
              </w:rPr>
              <w:t xml:space="preserve">The Conversion Funnel</w:t>
            </w:r>
          </w:p>
          <w:p>
            <w:r>
              <w:rPr>
                <w:rFonts w:ascii="Arial" w:cs="Arial" w:eastAsia="Arial" w:hAnsi="Arial"/>
                <w:color w:val="6B3A0D"/>
                <w:sz w:val="20"/>
                <w:szCs w:val="20"/>
              </w:rPr>
              <w:t xml:space="preserve">RACE Framework — Lifecycle KPI Architecture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3E8" w:val="clear"/>
            <w:tcMar>
              <w:top w:type="dxa" w:w="100"/>
              <w:left w:type="dxa" w:w="160"/>
              <w:bottom w:type="dxa" w:w="100"/>
              <w:right w:type="dxa" w:w="160"/>
            </w:tcMar>
          </w:tcPr>
          <w:p>
            <w:r>
              <w:rPr>
                <w:rFonts w:ascii="Arial" w:cs="Arial" w:eastAsia="Arial" w:hAnsi="Arial"/>
                <w:b/>
                <w:bCs/>
                <w:color w:val="0E7C86"/>
                <w:sz w:val="20"/>
                <w:szCs w:val="20"/>
              </w:rPr>
              <w:t xml:space="preserve">OBJECTIVE</w:t>
            </w:r>
          </w:p>
          <w:p>
            <w:pPr>
              <w:spacing w:after="120" w:before="0"/>
            </w:pPr>
            <w:r>
              <w:rPr>
                <w:rFonts w:ascii="Arial" w:cs="Arial" w:eastAsia="Arial" w:hAnsi="Arial"/>
                <w:sz w:val="22"/>
                <w:szCs w:val="22"/>
              </w:rPr>
              <w:t xml:space="preserve">Define a KPI for every stage of the customer lifecycle and build the conversion infrastructure that turns the authority earned in Phase 2 into measurable revenue.</w:t>
            </w:r>
          </w:p>
          <w:p>
            <w:pPr>
              <w:spacing w:after="20" w:before="0"/>
            </w:pPr>
            <w:r>
              <w:t xml:space="preserve"/>
            </w:r>
          </w:p>
          <w:p>
            <w:r>
              <w:rPr>
                <w:rFonts w:ascii="Arial" w:cs="Arial" w:eastAsia="Arial" w:hAnsi="Arial"/>
                <w:b/>
                <w:bCs/>
                <w:color w:val="0E7C86"/>
                <w:sz w:val="20"/>
                <w:szCs w:val="20"/>
              </w:rPr>
              <w:t xml:space="preserve">SOURCE FRAMEWORK</w:t>
            </w:r>
          </w:p>
          <w:p>
            <w:pPr>
              <w:spacing w:after="60" w:before="0"/>
            </w:pPr>
            <w:r>
              <w:rPr>
                <w:rFonts w:ascii="Arial" w:cs="Arial" w:eastAsia="Arial" w:hAnsi="Arial"/>
                <w:sz w:val="22"/>
                <w:szCs w:val="22"/>
              </w:rPr>
              <w:t xml:space="preserve">RACE Framework (Smart Insights / Dr Dave Chaffey)</w:t>
            </w:r>
          </w:p>
          <w:p>
            <w:pPr>
              <w:spacing w:after="120" w:before="0"/>
            </w:pPr>
            <w:r>
              <w:rPr>
                <w:rFonts w:ascii="Arial" w:cs="Arial" w:eastAsia="Arial" w:hAnsi="Arial"/>
                <w:sz w:val="22"/>
                <w:szCs w:val="22"/>
              </w:rPr>
              <w:t xml:space="preserve">The most widely adopted digital marketing planning framework in corporate strategy. Used by 1,000+ marketing teams globally as the KPI architecture standard.</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b/>
                <w:bCs/>
                <w:color w:val="0D2137"/>
                <w:sz w:val="20"/>
                <w:szCs w:val="20"/>
              </w:rPr>
              <w:t xml:space="preserve">THE RACE STAGES</w:t>
            </w:r>
          </w:p>
          <w:p>
            <w:pPr>
              <w:spacing w:after="20" w:before="0"/>
            </w:pPr>
            <w:r>
              <w:t xml:space="preserve"/>
            </w:r>
          </w:p>
          <w:p>
            <w:pPr>
              <w:pStyle w:val="ListParagraph"/>
              <w:numPr>
                <w:ilvl w:val="0"/>
                <w:numId w:val="2"/>
              </w:numPr>
              <w:spacing w:after="80" w:before="0"/>
            </w:pPr>
            <w:r>
              <w:rPr>
                <w:rFonts w:ascii="Arial" w:cs="Arial" w:eastAsia="Arial" w:hAnsi="Arial"/>
                <w:sz w:val="22"/>
                <w:szCs w:val="22"/>
              </w:rPr>
              <w:t xml:space="preserve">REACH — Drive traffic and brand awareness. KPIs: impressions, reach, organic visits, share of voice.</w:t>
            </w:r>
          </w:p>
          <w:p>
            <w:pPr>
              <w:pStyle w:val="ListParagraph"/>
              <w:numPr>
                <w:ilvl w:val="0"/>
                <w:numId w:val="2"/>
              </w:numPr>
              <w:spacing w:after="80" w:before="0"/>
            </w:pPr>
            <w:r>
              <w:rPr>
                <w:rFonts w:ascii="Arial" w:cs="Arial" w:eastAsia="Arial" w:hAnsi="Arial"/>
                <w:sz w:val="22"/>
                <w:szCs w:val="22"/>
              </w:rPr>
              <w:t xml:space="preserve">ACT — Encourage interaction and intent signals. KPIs: time on page, email sign-ups, content downloads, social engagement.</w:t>
            </w:r>
          </w:p>
          <w:p>
            <w:pPr>
              <w:pStyle w:val="ListParagraph"/>
              <w:numPr>
                <w:ilvl w:val="0"/>
                <w:numId w:val="2"/>
              </w:numPr>
              <w:spacing w:after="80" w:before="0"/>
            </w:pPr>
            <w:r>
              <w:rPr>
                <w:rFonts w:ascii="Arial" w:cs="Arial" w:eastAsia="Arial" w:hAnsi="Arial"/>
                <w:sz w:val="22"/>
                <w:szCs w:val="22"/>
              </w:rPr>
              <w:t xml:space="preserve">CONVERT — Turn intent into revenue. KPIs: conversion rate, cost per acquisition, revenue, lead-to-close rate.</w:t>
            </w:r>
          </w:p>
          <w:p>
            <w:pPr>
              <w:pStyle w:val="ListParagraph"/>
              <w:numPr>
                <w:ilvl w:val="0"/>
                <w:numId w:val="2"/>
              </w:numPr>
              <w:spacing w:after="80" w:before="0"/>
            </w:pPr>
            <w:r>
              <w:rPr>
                <w:rFonts w:ascii="Arial" w:cs="Arial" w:eastAsia="Arial" w:hAnsi="Arial"/>
                <w:sz w:val="22"/>
                <w:szCs w:val="22"/>
              </w:rPr>
              <w:t xml:space="preserve">ENGAGE — Build lifetime value and advocacy. KPIs: NPS, churn rate, repeat purchase, referral rate.</w:t>
            </w:r>
          </w:p>
        </w:tc>
      </w:tr>
    </w:tbl>
    <w:p>
      <w:pPr>
        <w:spacing w:after="40" w:before="0"/>
      </w:pPr>
      <w:r>
        <w:t xml:space="preserve"/>
      </w:r>
    </w:p>
    <w:p>
      <w:pPr>
        <w:pStyle w:val="Heading3"/>
        <w:spacing w:after="80" w:before="180"/>
      </w:pPr>
      <w:r>
        <w:rPr>
          <w:rFonts w:ascii="Arial" w:cs="Arial" w:eastAsia="Arial" w:hAnsi="Arial"/>
          <w:b/>
          <w:bCs/>
          <w:color w:val="0D2137"/>
          <w:sz w:val="24"/>
          <w:szCs w:val="24"/>
        </w:rPr>
        <w:t xml:space="preserve">Phase 3 Methodology</w:t>
      </w:r>
    </w:p>
    <w:p>
      <w:pPr>
        <w:spacing w:after="140" w:before="0"/>
      </w:pPr>
      <w:r>
        <w:rPr>
          <w:rFonts w:ascii="Arial" w:cs="Arial" w:eastAsia="Arial" w:hAnsi="Arial"/>
          <w:sz w:val="22"/>
          <w:szCs w:val="22"/>
        </w:rPr>
        <w:t xml:space="preserve">Phase 3 connects the content architecture (Phase 2) to commercial outcomes. Every piece of content built in the Authority Engine is assigned a RACE stage. KPIs are set for each stage. Conversion pathways — the sequences that move a reader from a pillar page to a lead form to a sale — are designed and implemented. Email sequences, retargeting logic, and lead nurture automation are mapped to the RACE lifecycle.</w:t>
      </w:r>
    </w:p>
    <w:p>
      <w:pPr>
        <w:spacing w:after="20" w:before="0"/>
      </w:pPr>
      <w:r>
        <w:t xml:space="preserve"/>
      </w:r>
    </w:p>
    <w:p>
      <w:pPr>
        <w:pStyle w:val="Heading3"/>
        <w:spacing w:after="80" w:before="180"/>
      </w:pPr>
      <w:r>
        <w:rPr>
          <w:rFonts w:ascii="Arial" w:cs="Arial" w:eastAsia="Arial" w:hAnsi="Arial"/>
          <w:b/>
          <w:bCs/>
          <w:color w:val="0D2137"/>
          <w:sz w:val="24"/>
          <w:szCs w:val="24"/>
        </w:rPr>
        <w:t xml:space="preserve">Actionable Checklist</w:t>
      </w:r>
    </w:p>
    <w:p>
      <w:pPr>
        <w:pStyle w:val="ListParagraph"/>
        <w:numPr>
          <w:ilvl w:val="0"/>
          <w:numId w:val="3"/>
        </w:numPr>
        <w:spacing w:after="60" w:before="0"/>
      </w:pPr>
      <w:r>
        <w:rPr>
          <w:rFonts w:ascii="Arial" w:cs="Arial" w:eastAsia="Arial" w:hAnsi="Arial"/>
          <w:sz w:val="22"/>
          <w:szCs w:val="22"/>
        </w:rPr>
        <w:t xml:space="preserve">✓ Tag every content asset in the cluster architecture with its RACE stage</w:t>
      </w:r>
    </w:p>
    <w:p>
      <w:pPr>
        <w:pStyle w:val="ListParagraph"/>
        <w:numPr>
          <w:ilvl w:val="0"/>
          <w:numId w:val="3"/>
        </w:numPr>
        <w:spacing w:after="60" w:before="0"/>
      </w:pPr>
      <w:r>
        <w:rPr>
          <w:rFonts w:ascii="Arial" w:cs="Arial" w:eastAsia="Arial" w:hAnsi="Arial"/>
          <w:sz w:val="22"/>
          <w:szCs w:val="22"/>
        </w:rPr>
        <w:t xml:space="preserve">✓ Define 3–5 KPIs per RACE stage — agree with client what "good" looks like in 90 days</w:t>
      </w:r>
    </w:p>
    <w:p>
      <w:pPr>
        <w:pStyle w:val="ListParagraph"/>
        <w:numPr>
          <w:ilvl w:val="0"/>
          <w:numId w:val="3"/>
        </w:numPr>
        <w:spacing w:after="60" w:before="0"/>
      </w:pPr>
      <w:r>
        <w:rPr>
          <w:rFonts w:ascii="Arial" w:cs="Arial" w:eastAsia="Arial" w:hAnsi="Arial"/>
          <w:sz w:val="22"/>
          <w:szCs w:val="22"/>
        </w:rPr>
        <w:t xml:space="preserve">✓ Design the conversion pathway: from top-of-funnel content → email capture → nurture sequence → sales conversation</w:t>
      </w:r>
    </w:p>
    <w:p>
      <w:pPr>
        <w:pStyle w:val="ListParagraph"/>
        <w:numPr>
          <w:ilvl w:val="0"/>
          <w:numId w:val="3"/>
        </w:numPr>
        <w:spacing w:after="60" w:before="0"/>
      </w:pPr>
      <w:r>
        <w:rPr>
          <w:rFonts w:ascii="Arial" w:cs="Arial" w:eastAsia="Arial" w:hAnsi="Arial"/>
          <w:sz w:val="22"/>
          <w:szCs w:val="22"/>
        </w:rPr>
        <w:t xml:space="preserve">✓ Audit current conversion assets: landing pages, CTAs, lead magnets, email sequences</w:t>
      </w:r>
    </w:p>
    <w:p>
      <w:pPr>
        <w:pStyle w:val="ListParagraph"/>
        <w:numPr>
          <w:ilvl w:val="0"/>
          <w:numId w:val="3"/>
        </w:numPr>
        <w:spacing w:after="60" w:before="0"/>
      </w:pPr>
      <w:r>
        <w:rPr>
          <w:rFonts w:ascii="Arial" w:cs="Arial" w:eastAsia="Arial" w:hAnsi="Arial"/>
          <w:sz w:val="22"/>
          <w:szCs w:val="22"/>
        </w:rPr>
        <w:t xml:space="preserve">✓ Build or improve the highest-leverage conversion touchpoint identified in the audit</w:t>
      </w:r>
    </w:p>
    <w:p>
      <w:pPr>
        <w:pStyle w:val="ListParagraph"/>
        <w:numPr>
          <w:ilvl w:val="0"/>
          <w:numId w:val="3"/>
        </w:numPr>
        <w:spacing w:after="60" w:before="0"/>
      </w:pPr>
      <w:r>
        <w:rPr>
          <w:rFonts w:ascii="Arial" w:cs="Arial" w:eastAsia="Arial" w:hAnsi="Arial"/>
          <w:sz w:val="22"/>
          <w:szCs w:val="22"/>
        </w:rPr>
        <w:t xml:space="preserve">✓ Set up reporting dashboard mapping content performance to RACE KPIs (see KPI Template, Section 8)</w:t>
      </w:r>
    </w:p>
    <w:p>
      <w:pPr>
        <w:spacing w:after="40" w:before="0"/>
      </w:pPr>
      <w:r>
        <w:t xml:space="preserve"/>
      </w:r>
    </w:p>
    <w:p>
      <w:pPr>
        <w:pStyle w:val="Heading3"/>
        <w:spacing w:after="80" w:before="180"/>
      </w:pPr>
      <w:r>
        <w:rPr>
          <w:rFonts w:ascii="Arial" w:cs="Arial" w:eastAsia="Arial" w:hAnsi="Arial"/>
          <w:b/>
          <w:bCs/>
          <w:color w:val="0D2137"/>
          <w:sz w:val="24"/>
          <w:szCs w:val="24"/>
        </w:rPr>
        <w:t xml:space="preserve">The RACE-to-Revenue KPI Dashboard</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Formula / Definition</w:t>
            </w:r>
          </w:p>
        </w:tc>
        <w:tc>
          <w:tcPr>
            <w:tcW w:type="dxa" w:w="20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RACE Stage</w:t>
            </w:r>
          </w:p>
        </w:tc>
        <w:tc>
          <w:tcPr>
            <w:tcW w:type="dxa" w:w="176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 Benchmark</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Organic Traffic Growth</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Month-on-month % increase in organic sessions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REACH</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15–25% MoM</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Content Engagement Rate</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(Engaged sessions / total sessions) × 100</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ACT</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&gt;45%</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Email Capture Rate</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(Email sign-ups / content views) × 100</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ACT</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2–5%</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Lead Conversion Rate</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(MQLs / landing page visits) × 100</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CONVERT</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3–8%</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Content-Attributed Revenue</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Revenue from leads originating in content</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CONVERT</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20–40% of total</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Customer Retention Rate</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((End customers - new) / start customers) × 100</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ENGAGE</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&gt;80%</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sz w:val="22"/>
                <w:szCs w:val="22"/>
              </w:rPr>
              <w:t xml:space="preserve">Content NPS Proxy</w:t>
            </w:r>
          </w:p>
        </w:tc>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Return visitor rate + social share rate</w:t>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0E7C86"/>
                <w:sz w:val="20"/>
                <w:szCs w:val="20"/>
              </w:rPr>
              <w:t xml:space="preserve">ENGAGE</w:t>
            </w:r>
          </w:p>
        </w:tc>
        <w:tc>
          <w:tcPr>
            <w:tcW w:type="dxa" w:w="17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C9922A"/>
                <w:sz w:val="20"/>
                <w:szCs w:val="20"/>
              </w:rPr>
              <w:t xml:space="preserve">&gt;35%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0D6B" w:val="clear"/>
            <w:tcMar>
              <w:top w:type="dxa" w:w="140"/>
              <w:left w:type="dxa" w:w="160"/>
              <w:bottom w:type="dxa" w:w="140"/>
              <w:right w:type="dxa" w:w="160"/>
            </w:tcMar>
          </w:tcPr>
          <w:p>
            <w:pPr>
              <w:jc w:val="center"/>
            </w:pPr>
            <w:r>
              <w:rPr>
                <w:rFonts w:ascii="Arial" w:cs="Arial" w:eastAsia="Arial" w:hAnsi="Arial"/>
                <w:color w:val="FFFFFF"/>
                <w:sz w:val="16"/>
                <w:szCs w:val="16"/>
              </w:rPr>
              <w:t xml:space="preserve">PHASE</w:t>
            </w:r>
          </w:p>
          <w:p>
            <w:pPr>
              <w:jc w:val="center"/>
            </w:pPr>
            <w:r>
              <w:rPr>
                <w:rFonts w:ascii="Arial" w:cs="Arial" w:eastAsia="Arial" w:hAnsi="Arial"/>
                <w:b/>
                <w:bCs/>
                <w:color w:val="FFFFFF"/>
                <w:sz w:val="52"/>
                <w:szCs w:val="52"/>
              </w:rPr>
              <w:t xml:space="preserve">4</w:t>
            </w:r>
          </w:p>
        </w:tc>
        <w:tc>
          <w:tcPr>
            <w:tcW w:type="dxa" w:w="8160"/>
            <w:tcBorders>
              <w:top w:val="none" w:color="FFFFFF" w:sz="0"/>
              <w:left w:val="none" w:color="FFFFFF" w:sz="0"/>
              <w:bottom w:val="none" w:color="FFFFFF" w:sz="0"/>
              <w:right w:val="none" w:color="FFFFFF" w:sz="0"/>
            </w:tcBorders>
            <w:shd w:fill="F4F6F8" w:val="clear"/>
            <w:tcMar>
              <w:top w:type="dxa" w:w="140"/>
              <w:left w:type="dxa" w:w="240"/>
              <w:bottom w:type="dxa" w:w="140"/>
              <w:right w:type="dxa" w:w="160"/>
            </w:tcMar>
          </w:tcPr>
          <w:p>
            <w:r>
              <w:rPr>
                <w:rFonts w:ascii="Arial" w:cs="Arial" w:eastAsia="Arial" w:hAnsi="Arial"/>
                <w:b/>
                <w:bCs/>
                <w:color w:val="0D2137"/>
                <w:sz w:val="30"/>
                <w:szCs w:val="30"/>
              </w:rPr>
              <w:t xml:space="preserve">The Distribution Flywheel</w:t>
            </w:r>
          </w:p>
          <w:p>
            <w:r>
              <w:rPr>
                <w:rFonts w:ascii="Arial" w:cs="Arial" w:eastAsia="Arial" w:hAnsi="Arial"/>
                <w:color w:val="4A0D6B"/>
                <w:sz w:val="20"/>
                <w:szCs w:val="20"/>
              </w:rPr>
              <w:t xml:space="preserve">Hub-and-Spoke — Content Repurposing Engine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EBF8" w:val="clear"/>
            <w:tcMar>
              <w:top w:type="dxa" w:w="100"/>
              <w:left w:type="dxa" w:w="160"/>
              <w:bottom w:type="dxa" w:w="100"/>
              <w:right w:type="dxa" w:w="160"/>
            </w:tcMar>
          </w:tcPr>
          <w:p>
            <w:r>
              <w:rPr>
                <w:rFonts w:ascii="Arial" w:cs="Arial" w:eastAsia="Arial" w:hAnsi="Arial"/>
                <w:b/>
                <w:bCs/>
                <w:color w:val="0E7C86"/>
                <w:sz w:val="20"/>
                <w:szCs w:val="20"/>
              </w:rPr>
              <w:t xml:space="preserve">OBJECTIVE</w:t>
            </w:r>
          </w:p>
          <w:p>
            <w:pPr>
              <w:spacing w:after="120" w:before="0"/>
            </w:pPr>
            <w:r>
              <w:rPr>
                <w:rFonts w:ascii="Arial" w:cs="Arial" w:eastAsia="Arial" w:hAnsi="Arial"/>
                <w:sz w:val="22"/>
                <w:szCs w:val="22"/>
              </w:rPr>
              <w:t xml:space="preserve">Maximise the ROI of every content investment by systematically repurposing one hub piece into 10+ distribution formats — turning a single production effort into a month of multi-channel presence.</w:t>
            </w:r>
          </w:p>
          <w:p>
            <w:pPr>
              <w:spacing w:after="20" w:before="0"/>
            </w:pPr>
            <w:r>
              <w:t xml:space="preserve"/>
            </w:r>
          </w:p>
          <w:p>
            <w:r>
              <w:rPr>
                <w:rFonts w:ascii="Arial" w:cs="Arial" w:eastAsia="Arial" w:hAnsi="Arial"/>
                <w:b/>
                <w:bCs/>
                <w:color w:val="0E7C86"/>
                <w:sz w:val="20"/>
                <w:szCs w:val="20"/>
              </w:rPr>
              <w:t xml:space="preserve">SOURCE FRAMEWORK</w:t>
            </w:r>
          </w:p>
          <w:p>
            <w:pPr>
              <w:spacing w:after="60" w:before="0"/>
            </w:pPr>
            <w:r>
              <w:rPr>
                <w:rFonts w:ascii="Arial" w:cs="Arial" w:eastAsia="Arial" w:hAnsi="Arial"/>
                <w:sz w:val="22"/>
                <w:szCs w:val="22"/>
              </w:rPr>
              <w:t xml:space="preserve">Hub-and-Spoke Content Distribution (HubSpot / ClusterMagic)</w:t>
            </w:r>
          </w:p>
          <w:p>
            <w:pPr>
              <w:spacing w:after="120" w:before="0"/>
            </w:pPr>
            <w:r>
              <w:rPr>
                <w:rFonts w:ascii="Arial" w:cs="Arial" w:eastAsia="Arial" w:hAnsi="Arial"/>
                <w:sz w:val="22"/>
                <w:szCs w:val="22"/>
              </w:rPr>
              <w:t xml:space="preserve">The production and distribution architecture that allows agencies and brands to maintain consistent multi-channel presence without proportionally scaling content teams.</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b/>
                <w:bCs/>
                <w:color w:val="0D2137"/>
                <w:sz w:val="20"/>
                <w:szCs w:val="20"/>
              </w:rPr>
              <w:t xml:space="preserve">THE FLYWHEEL MODEL</w:t>
            </w:r>
          </w:p>
          <w:p>
            <w:pPr>
              <w:spacing w:after="20" w:before="0"/>
            </w:pPr>
            <w:r>
              <w:t xml:space="preserve"/>
            </w:r>
          </w:p>
          <w:p>
            <w:pPr>
              <w:pStyle w:val="ListParagraph"/>
              <w:numPr>
                <w:ilvl w:val="0"/>
                <w:numId w:val="2"/>
              </w:numPr>
              <w:spacing w:after="60" w:before="0"/>
            </w:pPr>
            <w:r>
              <w:rPr>
                <w:rFonts w:ascii="Arial" w:cs="Arial" w:eastAsia="Arial" w:hAnsi="Arial"/>
                <w:sz w:val="20"/>
                <w:szCs w:val="20"/>
              </w:rPr>
              <w:t xml:space="preserve">HUB — The anchor content piece. Long-form: a webinar, a comprehensive guide, a research report, a video interview. Produced once per month.</w:t>
            </w:r>
          </w:p>
          <w:p>
            <w:pPr>
              <w:pStyle w:val="ListParagraph"/>
              <w:numPr>
                <w:ilvl w:val="0"/>
                <w:numId w:val="2"/>
              </w:numPr>
              <w:spacing w:after="60" w:before="0"/>
            </w:pPr>
            <w:r>
              <w:rPr>
                <w:rFonts w:ascii="Arial" w:cs="Arial" w:eastAsia="Arial" w:hAnsi="Arial"/>
                <w:sz w:val="20"/>
                <w:szCs w:val="20"/>
              </w:rPr>
              <w:t xml:space="preserve">SPOKE 1 — Blog post (cluster page). Derived from one key section of the hub.</w:t>
            </w:r>
          </w:p>
          <w:p>
            <w:pPr>
              <w:pStyle w:val="ListParagraph"/>
              <w:numPr>
                <w:ilvl w:val="0"/>
                <w:numId w:val="2"/>
              </w:numPr>
              <w:spacing w:after="60" w:before="0"/>
            </w:pPr>
            <w:r>
              <w:rPr>
                <w:rFonts w:ascii="Arial" w:cs="Arial" w:eastAsia="Arial" w:hAnsi="Arial"/>
                <w:sz w:val="20"/>
                <w:szCs w:val="20"/>
              </w:rPr>
              <w:t xml:space="preserve">SPOKE 2 — Email newsletter. The hub's key insight in 300 words.</w:t>
            </w:r>
          </w:p>
          <w:p>
            <w:pPr>
              <w:pStyle w:val="ListParagraph"/>
              <w:numPr>
                <w:ilvl w:val="0"/>
                <w:numId w:val="2"/>
              </w:numPr>
              <w:spacing w:after="60" w:before="0"/>
            </w:pPr>
            <w:r>
              <w:rPr>
                <w:rFonts w:ascii="Arial" w:cs="Arial" w:eastAsia="Arial" w:hAnsi="Arial"/>
                <w:sz w:val="20"/>
                <w:szCs w:val="20"/>
              </w:rPr>
              <w:t xml:space="preserve">SPOKE 3-5 — Social posts (LinkedIn, Instagram, Twitter/X). One insight per post.</w:t>
            </w:r>
          </w:p>
          <w:p>
            <w:pPr>
              <w:pStyle w:val="ListParagraph"/>
              <w:numPr>
                <w:ilvl w:val="0"/>
                <w:numId w:val="2"/>
              </w:numPr>
              <w:spacing w:after="60" w:before="0"/>
            </w:pPr>
            <w:r>
              <w:rPr>
                <w:rFonts w:ascii="Arial" w:cs="Arial" w:eastAsia="Arial" w:hAnsi="Arial"/>
                <w:sz w:val="20"/>
                <w:szCs w:val="20"/>
              </w:rPr>
              <w:t xml:space="preserve">SPOKE 6 — Infographic. The hub's framework visualised.</w:t>
            </w:r>
          </w:p>
          <w:p>
            <w:pPr>
              <w:pStyle w:val="ListParagraph"/>
              <w:numPr>
                <w:ilvl w:val="0"/>
                <w:numId w:val="2"/>
              </w:numPr>
              <w:spacing w:after="60" w:before="0"/>
            </w:pPr>
            <w:r>
              <w:rPr>
                <w:rFonts w:ascii="Arial" w:cs="Arial" w:eastAsia="Arial" w:hAnsi="Arial"/>
                <w:sz w:val="20"/>
                <w:szCs w:val="20"/>
              </w:rPr>
              <w:t xml:space="preserve">SPOKE 7 — Short video clip. 60-second highlight from the hub.</w:t>
            </w:r>
          </w:p>
          <w:p>
            <w:pPr>
              <w:pStyle w:val="ListParagraph"/>
              <w:numPr>
                <w:ilvl w:val="0"/>
                <w:numId w:val="2"/>
              </w:numPr>
              <w:spacing w:after="60" w:before="0"/>
            </w:pPr>
            <w:r>
              <w:rPr>
                <w:rFonts w:ascii="Arial" w:cs="Arial" w:eastAsia="Arial" w:hAnsi="Arial"/>
                <w:sz w:val="20"/>
                <w:szCs w:val="20"/>
              </w:rPr>
              <w:t xml:space="preserve">SPOKE 8 — Podcast episode or audio clip. Hub content in audio format.</w:t>
            </w:r>
          </w:p>
          <w:p>
            <w:pPr>
              <w:pStyle w:val="ListParagraph"/>
              <w:numPr>
                <w:ilvl w:val="0"/>
                <w:numId w:val="2"/>
              </w:numPr>
              <w:spacing w:after="60" w:before="0"/>
            </w:pPr>
            <w:r>
              <w:rPr>
                <w:rFonts w:ascii="Arial" w:cs="Arial" w:eastAsia="Arial" w:hAnsi="Arial"/>
                <w:sz w:val="20"/>
                <w:szCs w:val="20"/>
              </w:rPr>
              <w:t xml:space="preserve">SPOKE 9-10 — Slide deck + downloadable PDF. The hub packaged as a lead magnet.</w:t>
            </w:r>
          </w:p>
        </w:tc>
      </w:tr>
    </w:tbl>
    <w:p>
      <w:pPr>
        <w:spacing w:after="40" w:before="0"/>
      </w:pPr>
      <w:r>
        <w:t xml:space="preserve"/>
      </w:r>
    </w:p>
    <w:p>
      <w:pPr>
        <w:pStyle w:val="Heading3"/>
        <w:spacing w:after="80" w:before="180"/>
      </w:pPr>
      <w:r>
        <w:rPr>
          <w:rFonts w:ascii="Arial" w:cs="Arial" w:eastAsia="Arial" w:hAnsi="Arial"/>
          <w:b/>
          <w:bCs/>
          <w:color w:val="0D2137"/>
          <w:sz w:val="24"/>
          <w:szCs w:val="24"/>
        </w:rPr>
        <w:t xml:space="preserve">Phase 4 Methodology</w:t>
      </w:r>
    </w:p>
    <w:p>
      <w:pPr>
        <w:spacing w:after="140" w:before="0"/>
      </w:pPr>
      <w:r>
        <w:rPr>
          <w:rFonts w:ascii="Arial" w:cs="Arial" w:eastAsia="Arial" w:hAnsi="Arial"/>
          <w:sz w:val="22"/>
          <w:szCs w:val="22"/>
        </w:rPr>
        <w:t xml:space="preserve">The Distribution Flywheel operationalises content production. Rather than asking "what should we post this week," the DigiFusion system asks "which Hub piece are we releasing this month, and how do we extract maximum value from it?" Every spoke is pre-planned. Every format is optimised for its channel. Every piece links back to the conversion pathway designed in Phase 3.</w:t>
      </w:r>
    </w:p>
    <w:p>
      <w:pPr>
        <w:spacing w:after="20" w:before="0"/>
      </w:pPr>
      <w:r>
        <w:t xml:space="preserve"/>
      </w:r>
    </w:p>
    <w:p>
      <w:pPr>
        <w:pStyle w:val="Heading3"/>
        <w:spacing w:after="80" w:before="180"/>
      </w:pPr>
      <w:r>
        <w:rPr>
          <w:rFonts w:ascii="Arial" w:cs="Arial" w:eastAsia="Arial" w:hAnsi="Arial"/>
          <w:b/>
          <w:bCs/>
          <w:color w:val="0D2137"/>
          <w:sz w:val="24"/>
          <w:szCs w:val="24"/>
        </w:rPr>
        <w:t xml:space="preserve">Actionable Checklist</w:t>
      </w:r>
    </w:p>
    <w:p>
      <w:pPr>
        <w:pStyle w:val="ListParagraph"/>
        <w:numPr>
          <w:ilvl w:val="0"/>
          <w:numId w:val="3"/>
        </w:numPr>
        <w:spacing w:after="60" w:before="0"/>
      </w:pPr>
      <w:r>
        <w:rPr>
          <w:rFonts w:ascii="Arial" w:cs="Arial" w:eastAsia="Arial" w:hAnsi="Arial"/>
          <w:sz w:val="22"/>
          <w:szCs w:val="22"/>
        </w:rPr>
        <w:t xml:space="preserve">✓ Schedule one Hub piece per month — minimum: 2,000-word guide or 45-minute webinar</w:t>
      </w:r>
    </w:p>
    <w:p>
      <w:pPr>
        <w:pStyle w:val="ListParagraph"/>
        <w:numPr>
          <w:ilvl w:val="0"/>
          <w:numId w:val="3"/>
        </w:numPr>
        <w:spacing w:after="60" w:before="0"/>
      </w:pPr>
      <w:r>
        <w:rPr>
          <w:rFonts w:ascii="Arial" w:cs="Arial" w:eastAsia="Arial" w:hAnsi="Arial"/>
          <w:sz w:val="22"/>
          <w:szCs w:val="22"/>
        </w:rPr>
        <w:t xml:space="preserve">✓ Before production begins, map all 10 spokes: assign formats, formats, owners, and publication dates</w:t>
      </w:r>
    </w:p>
    <w:p>
      <w:pPr>
        <w:pStyle w:val="ListParagraph"/>
        <w:numPr>
          <w:ilvl w:val="0"/>
          <w:numId w:val="3"/>
        </w:numPr>
        <w:spacing w:after="60" w:before="0"/>
      </w:pPr>
      <w:r>
        <w:rPr>
          <w:rFonts w:ascii="Arial" w:cs="Arial" w:eastAsia="Arial" w:hAnsi="Arial"/>
          <w:sz w:val="22"/>
          <w:szCs w:val="22"/>
        </w:rPr>
        <w:t xml:space="preserve">✓ Build a repurposing SOP: a step-by-step workflow for how each spoke is extracted from the hub</w:t>
      </w:r>
    </w:p>
    <w:p>
      <w:pPr>
        <w:pStyle w:val="ListParagraph"/>
        <w:numPr>
          <w:ilvl w:val="0"/>
          <w:numId w:val="3"/>
        </w:numPr>
        <w:spacing w:after="60" w:before="0"/>
      </w:pPr>
      <w:r>
        <w:rPr>
          <w:rFonts w:ascii="Arial" w:cs="Arial" w:eastAsia="Arial" w:hAnsi="Arial"/>
          <w:sz w:val="22"/>
          <w:szCs w:val="22"/>
        </w:rPr>
        <w:t xml:space="preserve">✓ Connect all spokes to the RACE conversion pathway — every social post has a link; every email has a CTA</w:t>
      </w:r>
    </w:p>
    <w:p>
      <w:pPr>
        <w:pStyle w:val="ListParagraph"/>
        <w:numPr>
          <w:ilvl w:val="0"/>
          <w:numId w:val="3"/>
        </w:numPr>
        <w:spacing w:after="60" w:before="0"/>
      </w:pPr>
      <w:r>
        <w:rPr>
          <w:rFonts w:ascii="Arial" w:cs="Arial" w:eastAsia="Arial" w:hAnsi="Arial"/>
          <w:sz w:val="22"/>
          <w:szCs w:val="22"/>
        </w:rPr>
        <w:t xml:space="preserve">✓ Track the downstream impact of each hub: which spoke generated the most email sign-ups? Most sales conversations?</w:t>
      </w:r>
    </w:p>
    <w:p>
      <w:pPr>
        <w:pStyle w:val="ListParagraph"/>
        <w:numPr>
          <w:ilvl w:val="0"/>
          <w:numId w:val="3"/>
        </w:numPr>
        <w:spacing w:after="60" w:before="0"/>
      </w:pPr>
      <w:r>
        <w:rPr>
          <w:rFonts w:ascii="Arial" w:cs="Arial" w:eastAsia="Arial" w:hAnsi="Arial"/>
          <w:sz w:val="22"/>
          <w:szCs w:val="22"/>
        </w:rPr>
        <w:t xml:space="preserve">✓ Quarterly: retire underperforming formats; double down on highest-converting spokes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0D2137"/>
          <w:sz w:val="36"/>
          <w:szCs w:val="36"/>
        </w:rPr>
        <w:t xml:space="preserve">CONTENT MATURITY SCORECARD</w:t>
      </w:r>
    </w:p>
    <w:p>
      <w:pPr>
        <w:pBdr>
          <w:bottom w:val="single" w:color="C9922A" w:sz="8" w:space="1"/>
        </w:pBdr>
        <w:spacing w:after="60" w:before="60"/>
      </w:pPr>
      <w:r>
        <w:t xml:space="preserve"/>
      </w:r>
    </w:p>
    <w:p>
      <w:pPr>
        <w:spacing w:after="160" w:before="0"/>
      </w:pPr>
      <w:r>
        <w:rPr>
          <w:rFonts w:ascii="Arial" w:cs="Arial" w:eastAsia="Arial" w:hAnsi="Arial"/>
          <w:color w:val="2C3E50"/>
          <w:sz w:val="26"/>
          <w:szCs w:val="26"/>
        </w:rPr>
        <w:t xml:space="preserve">The DigiFusion Digital Diagnostic — 20 Questions That Reveal Your Content Architecture</w:t>
      </w:r>
    </w:p>
    <w:p>
      <w:pPr>
        <w:spacing w:after="20" w:before="0"/>
      </w:pPr>
      <w:r>
        <w:t xml:space="preserve"/>
      </w:r>
    </w:p>
    <w:p>
      <w:pPr>
        <w:spacing w:after="140" w:before="0"/>
      </w:pPr>
      <w:r>
        <w:rPr>
          <w:rFonts w:ascii="Arial" w:cs="Arial" w:eastAsia="Arial" w:hAnsi="Arial"/>
          <w:sz w:val="22"/>
          <w:szCs w:val="22"/>
        </w:rPr>
        <w:t xml:space="preserve">This scorecard is DigiFusion's primary diagnostic tool. Administered to every prospect before a proposal is written, it measures content maturity across five dimensions and places the client into one of three tiers — each with a prescribed engagement pathway and investment level.</w:t>
      </w:r>
    </w:p>
    <w:p>
      <w:pPr>
        <w:spacing w:after="20" w:before="0"/>
      </w:pPr>
      <w:r>
        <w:t xml:space="preserve"/>
      </w:r>
    </w:p>
    <w:p>
      <w:pPr>
        <w:spacing w:after="140" w:before="0"/>
      </w:pPr>
      <w:r>
        <w:rPr>
          <w:rFonts w:ascii="Arial" w:cs="Arial" w:eastAsia="Arial" w:hAnsi="Arial"/>
          <w:sz w:val="22"/>
          <w:szCs w:val="22"/>
        </w:rPr>
        <w:t xml:space="preserve">Instructions: Score each statement from 1 (strongly disagree / does not exist) to 5 (strongly agree / fully implemented). Total your scores per dimension, then calculate the weighted composite score.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1800"/>
        <w:gridCol w:w="1200"/>
      </w:tblGrid>
      <w:tr>
        <w:trPr>
          <w:tblHeader/>
        </w:trPr>
        <w:tc>
          <w:tcPr>
            <w:tcW w:type="dxa" w:w="480"/>
            <w:tcBorders>
              <w:top w:val="single" w:color="D0D7DE" w:sz="1"/>
              <w:left w:val="single" w:color="D0D7DE" w:sz="1"/>
              <w:bottom w:val="single" w:color="D0D7DE" w:sz="1"/>
              <w:right w:val="single" w:color="D0D7DE" w:sz="1"/>
            </w:tcBorders>
            <w:shd w:fill="0D2137"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588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Diagnostic Statement</w:t>
            </w:r>
          </w:p>
        </w:tc>
        <w:tc>
          <w:tcPr>
            <w:tcW w:type="dxa" w:w="1800"/>
            <w:tcBorders>
              <w:top w:val="single" w:color="D0D7DE" w:sz="1"/>
              <w:left w:val="single" w:color="D0D7DE" w:sz="1"/>
              <w:bottom w:val="single" w:color="D0D7DE" w:sz="1"/>
              <w:right w:val="single" w:color="D0D7DE" w:sz="1"/>
            </w:tcBorders>
            <w:shd w:fill="0D2137"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1200"/>
            <w:tcBorders>
              <w:top w:val="single" w:color="D0D7DE" w:sz="1"/>
              <w:left w:val="single" w:color="D0D7DE" w:sz="1"/>
              <w:bottom w:val="single" w:color="D0D7DE" w:sz="1"/>
              <w:right w:val="single" w:color="D0D7DE" w:sz="1"/>
            </w:tcBorders>
            <w:shd w:fill="0D2137" w:val="clear"/>
            <w:tcMar>
              <w:top w:type="dxa" w:w="80"/>
              <w:left w:type="dxa" w:w="100"/>
              <w:bottom w:type="dxa" w:w="80"/>
              <w:right w:type="dxa" w:w="100"/>
            </w:tcMar>
          </w:tcPr>
          <w:p>
            <w:r>
              <w:rPr>
                <w:rFonts w:ascii="Arial" w:cs="Arial" w:eastAsia="Arial" w:hAnsi="Arial"/>
                <w:b/>
                <w:bCs/>
                <w:color w:val="FFFFFF"/>
                <w:sz w:val="20"/>
                <w:szCs w:val="20"/>
              </w:rPr>
              <w:t xml:space="preserve">Score (1–5)</w:t>
            </w:r>
          </w:p>
        </w:tc>
      </w:tr>
      <w:tr>
        <w:tc>
          <w:tcPr>
            <w:gridSpan w:val="2"/>
            <w:tcBorders>
              <w:top w:val="none" w:color="FFFFFF" w:sz="0"/>
              <w:left w:val="none" w:color="FFFFFF" w:sz="0"/>
              <w:bottom w:val="none" w:color="FFFFFF" w:sz="0"/>
              <w:right w:val="none" w:color="FFFFFF" w:sz="0"/>
            </w:tcBorders>
            <w:shd w:fill="1A6B72" w:val="clear"/>
            <w:tcMar>
              <w:top w:type="dxa" w:w="120"/>
              <w:left w:type="dxa" w:w="200"/>
              <w:bottom w:type="dxa" w:w="120"/>
              <w:right w:type="dxa" w:w="200"/>
            </w:tcMar>
          </w:tcPr>
          <w:p>
            <w:r>
              <w:rPr>
                <w:rFonts w:ascii="Arial" w:cs="Arial" w:eastAsia="Arial" w:hAnsi="Arial"/>
                <w:b/>
                <w:bCs/>
                <w:color w:val="FFFFFF"/>
                <w:sz w:val="24"/>
                <w:szCs w:val="24"/>
              </w:rPr>
              <w:t xml:space="preserve">DIMENSION A: Audience Intelligence  (Weight: 20%)</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documented the specific content our audience consumes at each stage of their buying journey (awareness, consideration, decision, loyalty).</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Audience Intel</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2</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can identify, by name and URL, the top 5 pieces of content that drive the most qualified leads into our pipeline.</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Audience Intel</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3</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actively map competitor content and can articulate the specific audience intent stages where they outperform us.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Audience Intel</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4</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conducted primary research (interviews, surveys, or session recordings) in the last 6 months to understand audience content preferences.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Audience Intel</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gridSpan w:val="2"/>
            <w:tcBorders>
              <w:top w:val="none" w:color="FFFFFF" w:sz="0"/>
              <w:left w:val="none" w:color="FFFFFF" w:sz="0"/>
              <w:bottom w:val="none" w:color="FFFFFF" w:sz="0"/>
              <w:right w:val="none" w:color="FFFFFF" w:sz="0"/>
            </w:tcBorders>
            <w:shd w:fill="0D6B3E" w:val="clear"/>
            <w:tcMar>
              <w:top w:type="dxa" w:w="120"/>
              <w:left w:type="dxa" w:w="200"/>
              <w:bottom w:type="dxa" w:w="120"/>
              <w:right w:type="dxa" w:w="200"/>
            </w:tcMar>
          </w:tcPr>
          <w:p>
            <w:r>
              <w:rPr>
                <w:rFonts w:ascii="Arial" w:cs="Arial" w:eastAsia="Arial" w:hAnsi="Arial"/>
                <w:b/>
                <w:bCs/>
                <w:color w:val="FFFFFF"/>
                <w:sz w:val="24"/>
                <w:szCs w:val="24"/>
              </w:rPr>
              <w:t xml:space="preserve">DIMENSION B: Content Architecture  (Weight: 20%)</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5</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at least one Pillar Page — a comprehensive, 2,000+ word resource on our most important topic — that ranks on page 1 of Google.</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Architecture</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6</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Our website has a deliberate internal linking structure: cluster pages link to pillar pages, and pillar pages link to all related cluster content.</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Architecture</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7</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produce at least 4 new pieces of cluster content per month, each targeting a specific long-tail keyword in our topic architecture.</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Architecture</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8</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a documented Content Architecture Blueprint that every writer and agency partner follows before producing new content.</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Architecture</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gridSpan w:val="2"/>
            <w:tcBorders>
              <w:top w:val="none" w:color="FFFFFF" w:sz="0"/>
              <w:left w:val="none" w:color="FFFFFF" w:sz="0"/>
              <w:bottom w:val="none" w:color="FFFFFF" w:sz="0"/>
              <w:right w:val="none" w:color="FFFFFF" w:sz="0"/>
            </w:tcBorders>
            <w:shd w:fill="6B3A0D" w:val="clear"/>
            <w:tcMar>
              <w:top w:type="dxa" w:w="120"/>
              <w:left w:type="dxa" w:w="200"/>
              <w:bottom w:type="dxa" w:w="120"/>
              <w:right w:type="dxa" w:w="200"/>
            </w:tcMar>
          </w:tcPr>
          <w:p>
            <w:r>
              <w:rPr>
                <w:rFonts w:ascii="Arial" w:cs="Arial" w:eastAsia="Arial" w:hAnsi="Arial"/>
                <w:b/>
                <w:bCs/>
                <w:color w:val="FFFFFF"/>
                <w:sz w:val="24"/>
                <w:szCs w:val="24"/>
              </w:rPr>
              <w:t xml:space="preserve">DIMENSION C: Conversion Infrastructure  (Weight: 25%)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9</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Every piece of content we produce has an explicit conversion goal (e.g. email capture, consultation booking, product trial) aligned to the RACE lifecycle.</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Conversion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10</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a documented email nurture sequence of at least 5 emails that activates when a prospect downloads our lead magnet.</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Conversion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11</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track content-attributed revenue — we know what percentage of our sales originated from a specific piece of content.</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Conversion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12</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Our REACH-to-CONVERT conversion rate (organic visitors → paying customers) is documented and reviewed monthly.</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Conversion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13</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retargeting campaigns active that serve conversion-focused content to visitors who previously consumed our awareness-stage content.</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Conversion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gridSpan w:val="2"/>
            <w:tcBorders>
              <w:top w:val="none" w:color="FFFFFF" w:sz="0"/>
              <w:left w:val="none" w:color="FFFFFF" w:sz="0"/>
              <w:bottom w:val="none" w:color="FFFFFF" w:sz="0"/>
              <w:right w:val="none" w:color="FFFFFF" w:sz="0"/>
            </w:tcBorders>
            <w:shd w:fill="4A0D6B" w:val="clear"/>
            <w:tcMar>
              <w:top w:type="dxa" w:w="120"/>
              <w:left w:type="dxa" w:w="200"/>
              <w:bottom w:type="dxa" w:w="120"/>
              <w:right w:type="dxa" w:w="200"/>
            </w:tcMar>
          </w:tcPr>
          <w:p>
            <w:r>
              <w:rPr>
                <w:rFonts w:ascii="Arial" w:cs="Arial" w:eastAsia="Arial" w:hAnsi="Arial"/>
                <w:b/>
                <w:bCs/>
                <w:color w:val="FFFFFF"/>
                <w:sz w:val="24"/>
                <w:szCs w:val="24"/>
              </w:rPr>
              <w:t xml:space="preserve">DIMENSION D: Distribution Engine  (Weight: 20%)</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14</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publish at least one long-form Hub piece per month (webinar, comprehensive guide, original research, or long-form video).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Distribution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15</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a documented repurposing SOP: every Hub piece is systematically broken into at least 8 derivative Spoke formats before publication.</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Distribution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16</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are consistently active on at least 3 distribution channels, and each channel receives content specifically optimised for its format and audience.</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Distribution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17</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track per-spoke performance and regularly retire underperforming formats in favour of channels producing leads or conversions.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Distribution</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gridSpan w:val="2"/>
            <w:tcBorders>
              <w:top w:val="none" w:color="FFFFFF" w:sz="0"/>
              <w:left w:val="none" w:color="FFFFFF" w:sz="0"/>
              <w:bottom w:val="none" w:color="FFFFFF" w:sz="0"/>
              <w:right w:val="none" w:color="FFFFFF" w:sz="0"/>
            </w:tcBorders>
            <w:shd w:fill="2C3E50" w:val="clear"/>
            <w:tcMar>
              <w:top w:type="dxa" w:w="120"/>
              <w:left w:type="dxa" w:w="200"/>
              <w:bottom w:type="dxa" w:w="120"/>
              <w:right w:type="dxa" w:w="200"/>
            </w:tcMar>
          </w:tcPr>
          <w:p>
            <w:r>
              <w:rPr>
                <w:rFonts w:ascii="Arial" w:cs="Arial" w:eastAsia="Arial" w:hAnsi="Arial"/>
                <w:b/>
                <w:bCs/>
                <w:color w:val="FFFFFF"/>
                <w:sz w:val="24"/>
                <w:szCs w:val="24"/>
              </w:rPr>
              <w:t xml:space="preserve">DIMENSION E: Measurement &amp; Iteration  (Weight: 15%)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18</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a live KPI dashboard reviewed weekly by at least one decision-maker that covers all four RACE stages.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Measurement</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19</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conduct a quarterly content audit: underperforming content is updated, consolidated, or retired based on performance data.</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Measurement</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color w:val="0D2137"/>
                <w:sz w:val="22"/>
                <w:szCs w:val="22"/>
              </w:rPr>
              <w:t xml:space="preserve">20</w:t>
            </w:r>
          </w:p>
        </w:tc>
        <w:tc>
          <w:tcPr>
            <w:tcW w:type="dxa" w:w="58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We have a documented process for incorporating content performance data back into our editorial strategy for the next quarter.</w:t>
            </w:r>
          </w:p>
        </w:tc>
        <w:tc>
          <w:tcPr>
            <w:tcW w:type="dxa" w:w="1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color w:val="0E7C86"/>
                <w:sz w:val="18"/>
                <w:szCs w:val="18"/>
              </w:rPr>
              <w:t xml:space="preserve">Measurement</w:t>
            </w:r>
          </w:p>
        </w:tc>
        <w:tc>
          <w:tcPr>
            <w:tcW w:type="dxa" w:w="1200"/>
            <w:tcBorders>
              <w:top w:val="single" w:color="D0D7DE" w:sz="1"/>
              <w:left w:val="single" w:color="D0D7DE" w:sz="1"/>
              <w:bottom w:val="single" w:color="D0D7DE" w:sz="1"/>
              <w:right w:val="single" w:color="D0D7DE"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1  2  3  4  5</w:t>
            </w:r>
          </w:p>
        </w:tc>
      </w:tr>
    </w:tbl>
    <w:p>
      <w:pPr>
        <w:spacing w:after="40" w:before="0"/>
      </w:pPr>
      <w:r>
        <w:t xml:space="preserve"/>
      </w:r>
    </w:p>
    <w:p>
      <w:pPr>
        <w:pStyle w:val="Heading2"/>
        <w:spacing w:after="120" w:before="240"/>
      </w:pPr>
      <w:r>
        <w:rPr>
          <w:rFonts w:ascii="Arial" w:cs="Arial" w:eastAsia="Arial" w:hAnsi="Arial"/>
          <w:b/>
          <w:bCs/>
          <w:color w:val="0E7C86"/>
          <w:sz w:val="28"/>
          <w:szCs w:val="28"/>
        </w:rPr>
        <w:t xml:space="preserve">Scoring Formula</w:t>
      </w:r>
    </w:p>
    <w:p>
      <w:pPr>
        <w:spacing w:after="140" w:before="0"/>
      </w:pPr>
      <w:r>
        <w:rPr>
          <w:rFonts w:ascii="Arial" w:cs="Arial" w:eastAsia="Arial" w:hAnsi="Arial"/>
          <w:sz w:val="22"/>
          <w:szCs w:val="22"/>
        </w:rPr>
        <w:t xml:space="preserve">For each dimension, sum the scores for its questions. Multiply by the dimension weight as shown below. Sum all weighted scores to get the Composite Maturity Score (0–100).</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18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Raw Score (÷20)</w:t>
            </w:r>
          </w:p>
        </w:tc>
        <w:tc>
          <w:tcPr>
            <w:tcW w:type="dxa" w:w="180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560"/>
            <w:tcBorders>
              <w:top w:val="single" w:color="D0D7DE" w:sz="1"/>
              <w:left w:val="single" w:color="D0D7DE" w:sz="1"/>
              <w:bottom w:val="single" w:color="D0D7DE" w:sz="1"/>
              <w:right w:val="single" w:color="D0D7D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Weighted Score</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A — Audience Intelligence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1–4</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___ / 20</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0.20</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___</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B — Content Architecture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5–8</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___ / 20</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0.20</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___</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C — Conversion Infrastructure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9–13</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___ / 25</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0.25</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___</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D — Distribution Engine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14–17</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___ / 20</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0.20</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___</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E — Measurement &amp; Iteration</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18–20</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___ / 15</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0.15</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2"/>
                <w:szCs w:val="22"/>
              </w:rPr>
              <w:t xml:space="preserve">= ___</w:t>
            </w:r>
          </w:p>
        </w:tc>
      </w:tr>
      <w:tr>
        <w:tc>
          <w:tcPr>
            <w:gridSpan w:val="4"/>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0D2137"/>
                <w:sz w:val="22"/>
                <w:szCs w:val="22"/>
              </w:rPr>
              <w:t xml:space="preserve">COMPOSITE MATURITY SCORE</w:t>
            </w:r>
          </w:p>
        </w:tc>
        <w:tc>
          <w:tcPr>
            <w:tcBorders>
              <w:top w:val="single" w:color="D0D7DE" w:sz="1"/>
              <w:left w:val="single" w:color="D0D7DE" w:sz="1"/>
              <w:bottom w:val="single" w:color="D0D7DE" w:sz="1"/>
              <w:right w:val="single" w:color="D0D7DE" w:sz="1"/>
            </w:tcBorders>
            <w:shd w:fill="C9922A" w:val="clear"/>
            <w:tcMar>
              <w:top w:type="dxa" w:w="80"/>
              <w:left w:type="dxa" w:w="120"/>
              <w:bottom w:type="dxa" w:w="80"/>
              <w:right w:type="dxa" w:w="120"/>
            </w:tcMar>
          </w:tcPr>
          <w:p>
            <w:r>
              <w:rPr>
                <w:rFonts w:ascii="Arial" w:cs="Arial" w:eastAsia="Arial" w:hAnsi="Arial"/>
                <w:b/>
                <w:bCs/>
                <w:color w:val="FFFFFF"/>
                <w:sz w:val="22"/>
                <w:szCs w:val="22"/>
              </w:rPr>
              <w:t xml:space="preserve">= ___ / 100</w:t>
            </w:r>
          </w:p>
        </w:tc>
      </w:tr>
    </w:tbl>
    <w:p>
      <w:r>
        <w:br w:type="page"/>
      </w:r>
    </w:p>
    <w:p>
      <w:pPr>
        <w:pStyle w:val="Heading1"/>
        <w:spacing w:after="160" w:before="320"/>
      </w:pPr>
      <w:r>
        <w:rPr>
          <w:rFonts w:ascii="Arial" w:cs="Arial" w:eastAsia="Arial" w:hAnsi="Arial"/>
          <w:b/>
          <w:bCs/>
          <w:color w:val="0D2137"/>
          <w:sz w:val="36"/>
          <w:szCs w:val="36"/>
        </w:rPr>
        <w:t xml:space="preserve">THE THREE MATURITY TIERS</w:t>
      </w:r>
    </w:p>
    <w:p>
      <w:pPr>
        <w:pBdr>
          <w:bottom w:val="single" w:color="C9922A" w:sz="8" w:space="1"/>
        </w:pBdr>
        <w:spacing w:after="60" w:before="60"/>
      </w:pPr>
      <w:r>
        <w:t xml:space="preserve"/>
      </w:r>
    </w:p>
    <w:p>
      <w:pPr>
        <w:spacing w:after="160" w:before="0"/>
      </w:pPr>
      <w:r>
        <w:rPr>
          <w:rFonts w:ascii="Arial" w:cs="Arial" w:eastAsia="Arial" w:hAnsi="Arial"/>
          <w:color w:val="2C3E50"/>
          <w:sz w:val="26"/>
          <w:szCs w:val="26"/>
        </w:rPr>
        <w:t xml:space="preserve">Every client falls into one of three tiers. Each tier has a prescribed engagement scope, a defined problem set, and a corresponding investment range.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72" w:val="clear"/>
            <w:tcMar>
              <w:top w:type="dxa" w:w="120"/>
              <w:left w:type="dxa" w:w="200"/>
              <w:bottom w:type="dxa" w:w="120"/>
              <w:right w:type="dxa" w:w="200"/>
            </w:tcMar>
          </w:tcPr>
          <w:p>
            <w:r>
              <w:rPr>
                <w:rFonts w:ascii="Arial" w:cs="Arial" w:eastAsia="Arial" w:hAnsi="Arial"/>
                <w:b/>
                <w:bCs/>
                <w:color w:val="FFFFFF"/>
                <w:sz w:val="28"/>
                <w:szCs w:val="28"/>
              </w:rPr>
              <w:t xml:space="preserve">TIER 1 — FOUNDATIONAL</w:t>
            </w:r>
            <w:r>
              <w:rPr>
                <w:rFonts w:ascii="Arial" w:cs="Arial" w:eastAsia="Arial" w:hAnsi="Arial"/>
                <w:color w:val="FFFFFF"/>
                <w:sz w:val="22"/>
                <w:szCs w:val="22"/>
              </w:rPr>
              <w:t xml:space="preserve">   Score: 0–39</w:t>
            </w:r>
          </w:p>
          <w:p>
            <w:r>
              <w:rPr>
                <w:rFonts w:ascii="Arial" w:cs="Arial" w:eastAsia="Arial" w:hAnsi="Arial"/>
                <w:i/>
                <w:iCs/>
                <w:color w:val="FFFFFF"/>
                <w:sz w:val="20"/>
                <w:szCs w:val="20"/>
              </w:rPr>
              <w:t xml:space="preserve">Typical engagement: $3,000–$5,000 | Phases 1 + 2</w:t>
            </w:r>
          </w:p>
        </w:tc>
      </w:tr>
      <w:tr>
        <w:tc>
          <w:tcPr>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80" w:before="0"/>
            </w:pPr>
            <w:r>
              <w:rPr>
                <w:rFonts w:ascii="Arial" w:cs="Arial" w:eastAsia="Arial" w:hAnsi="Arial"/>
                <w:color w:val="2C3E50"/>
                <w:sz w:val="22"/>
                <w:szCs w:val="22"/>
              </w:rPr>
              <w:t xml:space="preserve">The client has content activity but no content system. Effort is being invested without architecture, which means conversion is unpredictable and growth is dependent on luck or ad spend.</w:t>
            </w:r>
          </w:p>
          <w:p>
            <w:pPr>
              <w:pStyle w:val="ListParagraph"/>
              <w:numPr>
                <w:ilvl w:val="0"/>
                <w:numId w:val="3"/>
              </w:numPr>
              <w:spacing w:after="60" w:before="0"/>
            </w:pPr>
            <w:r>
              <w:rPr>
                <w:rFonts w:ascii="Arial" w:cs="Arial" w:eastAsia="Arial" w:hAnsi="Arial"/>
                <w:sz w:val="20"/>
                <w:szCs w:val="20"/>
              </w:rPr>
              <w:t xml:space="preserve">Phase 1: Full Intelligence Audit — STDC intent mapping, content gap analysis, competitor audit</w:t>
            </w:r>
          </w:p>
          <w:p>
            <w:pPr>
              <w:pStyle w:val="ListParagraph"/>
              <w:numPr>
                <w:ilvl w:val="0"/>
                <w:numId w:val="3"/>
              </w:numPr>
              <w:spacing w:after="60" w:before="0"/>
            </w:pPr>
            <w:r>
              <w:rPr>
                <w:rFonts w:ascii="Arial" w:cs="Arial" w:eastAsia="Arial" w:hAnsi="Arial"/>
                <w:sz w:val="20"/>
                <w:szCs w:val="20"/>
              </w:rPr>
              <w:t xml:space="preserve">Phase 2: Authority Engine Build — 2 pillar pages, 12 cluster pages, full internal linking architecture</w:t>
            </w:r>
          </w:p>
          <w:p>
            <w:pPr>
              <w:pStyle w:val="ListParagraph"/>
              <w:numPr>
                <w:ilvl w:val="0"/>
                <w:numId w:val="3"/>
              </w:numPr>
              <w:spacing w:after="60" w:before="0"/>
            </w:pPr>
            <w:r>
              <w:rPr>
                <w:rFonts w:ascii="Arial" w:cs="Arial" w:eastAsia="Arial" w:hAnsi="Arial"/>
                <w:sz w:val="20"/>
                <w:szCs w:val="20"/>
              </w:rPr>
              <w:t xml:space="preserve">Deliverable: Content Architecture Blueprint + 90-Day Editorial Calendar</w:t>
            </w:r>
          </w:p>
          <w:p>
            <w:pPr>
              <w:pStyle w:val="ListParagraph"/>
              <w:numPr>
                <w:ilvl w:val="0"/>
                <w:numId w:val="3"/>
              </w:numPr>
              <w:spacing w:after="60" w:before="0"/>
            </w:pPr>
            <w:r>
              <w:rPr>
                <w:rFonts w:ascii="Arial" w:cs="Arial" w:eastAsia="Arial" w:hAnsi="Arial"/>
                <w:sz w:val="20"/>
                <w:szCs w:val="20"/>
              </w:rPr>
              <w:t xml:space="preserve">What they lack: Any understanding of why their content is not converting</w:t>
            </w:r>
          </w:p>
          <w:p>
            <w:pPr>
              <w:pStyle w:val="ListParagraph"/>
              <w:numPr>
                <w:ilvl w:val="0"/>
                <w:numId w:val="3"/>
              </w:numPr>
              <w:spacing w:after="60" w:before="0"/>
            </w:pPr>
            <w:r>
              <w:rPr>
                <w:rFonts w:ascii="Arial" w:cs="Arial" w:eastAsia="Arial" w:hAnsi="Arial"/>
                <w:sz w:val="20"/>
                <w:szCs w:val="20"/>
              </w:rPr>
              <w:t xml:space="preserve">What we provide: A complete content operating system where none existed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3A0D" w:val="clear"/>
            <w:tcMar>
              <w:top w:type="dxa" w:w="120"/>
              <w:left w:type="dxa" w:w="200"/>
              <w:bottom w:type="dxa" w:w="120"/>
              <w:right w:type="dxa" w:w="200"/>
            </w:tcMar>
          </w:tcPr>
          <w:p>
            <w:r>
              <w:rPr>
                <w:rFonts w:ascii="Arial" w:cs="Arial" w:eastAsia="Arial" w:hAnsi="Arial"/>
                <w:b/>
                <w:bCs/>
                <w:color w:val="FFFFFF"/>
                <w:sz w:val="28"/>
                <w:szCs w:val="28"/>
              </w:rPr>
              <w:t xml:space="preserve">TIER 2 — GROWTH</w:t>
            </w:r>
            <w:r>
              <w:rPr>
                <w:rFonts w:ascii="Arial" w:cs="Arial" w:eastAsia="Arial" w:hAnsi="Arial"/>
                <w:color w:val="FFFFFF"/>
                <w:sz w:val="22"/>
                <w:szCs w:val="22"/>
              </w:rPr>
              <w:t xml:space="preserve">   Score: 40–69</w:t>
            </w:r>
          </w:p>
          <w:p>
            <w:r>
              <w:rPr>
                <w:rFonts w:ascii="Arial" w:cs="Arial" w:eastAsia="Arial" w:hAnsi="Arial"/>
                <w:i/>
                <w:iCs/>
                <w:color w:val="FFFFFF"/>
                <w:sz w:val="20"/>
                <w:szCs w:val="20"/>
              </w:rPr>
              <w:t xml:space="preserve">Typical engagement: $5,000–$9,000 | Phases 1 + 2 + 3</w:t>
            </w:r>
          </w:p>
        </w:tc>
      </w:tr>
      <w:tr>
        <w:tc>
          <w:tcPr>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80" w:before="0"/>
            </w:pPr>
            <w:r>
              <w:rPr>
                <w:rFonts w:ascii="Arial" w:cs="Arial" w:eastAsia="Arial" w:hAnsi="Arial"/>
                <w:color w:val="2C3E50"/>
                <w:sz w:val="22"/>
                <w:szCs w:val="22"/>
              </w:rPr>
              <w:t xml:space="preserve">The client has foundational infrastructure but is leaving revenue on the table due to broken conversion pathways, inconsistent distribution, or an absence of measurement. They are producing content but cannot prove its commercial value.</w:t>
            </w:r>
          </w:p>
          <w:p>
            <w:pPr>
              <w:pStyle w:val="ListParagraph"/>
              <w:numPr>
                <w:ilvl w:val="0"/>
                <w:numId w:val="3"/>
              </w:numPr>
              <w:spacing w:after="60" w:before="0"/>
            </w:pPr>
            <w:r>
              <w:rPr>
                <w:rFonts w:ascii="Arial" w:cs="Arial" w:eastAsia="Arial" w:hAnsi="Arial"/>
                <w:sz w:val="20"/>
                <w:szCs w:val="20"/>
              </w:rPr>
              <w:t xml:space="preserve">Phase 1: Rapid Audit — 3-week accelerated version, focused on the specific broken stage</w:t>
            </w:r>
          </w:p>
          <w:p>
            <w:pPr>
              <w:pStyle w:val="ListParagraph"/>
              <w:numPr>
                <w:ilvl w:val="0"/>
                <w:numId w:val="3"/>
              </w:numPr>
              <w:spacing w:after="60" w:before="0"/>
            </w:pPr>
            <w:r>
              <w:rPr>
                <w:rFonts w:ascii="Arial" w:cs="Arial" w:eastAsia="Arial" w:hAnsi="Arial"/>
                <w:sz w:val="20"/>
                <w:szCs w:val="20"/>
              </w:rPr>
              <w:t xml:space="preserve">Phase 2: Architecture Optimisation — upgrade existing content to pillar-cluster standard</w:t>
            </w:r>
          </w:p>
          <w:p>
            <w:pPr>
              <w:pStyle w:val="ListParagraph"/>
              <w:numPr>
                <w:ilvl w:val="0"/>
                <w:numId w:val="3"/>
              </w:numPr>
              <w:spacing w:after="60" w:before="0"/>
            </w:pPr>
            <w:r>
              <w:rPr>
                <w:rFonts w:ascii="Arial" w:cs="Arial" w:eastAsia="Arial" w:hAnsi="Arial"/>
                <w:sz w:val="20"/>
                <w:szCs w:val="20"/>
              </w:rPr>
              <w:t xml:space="preserve">Phase 3: Conversion Funnel Build — RACE KPI architecture, email sequences, conversion pathway design</w:t>
            </w:r>
          </w:p>
          <w:p>
            <w:pPr>
              <w:pStyle w:val="ListParagraph"/>
              <w:numPr>
                <w:ilvl w:val="0"/>
                <w:numId w:val="3"/>
              </w:numPr>
              <w:spacing w:after="60" w:before="0"/>
            </w:pPr>
            <w:r>
              <w:rPr>
                <w:rFonts w:ascii="Arial" w:cs="Arial" w:eastAsia="Arial" w:hAnsi="Arial"/>
                <w:sz w:val="20"/>
                <w:szCs w:val="20"/>
              </w:rPr>
              <w:t xml:space="preserve">Deliverable: RACE KPI Dashboard + Lead Nurture Sequence + Content-to-Revenue Attribution Model</w:t>
            </w:r>
          </w:p>
          <w:p>
            <w:pPr>
              <w:pStyle w:val="ListParagraph"/>
              <w:numPr>
                <w:ilvl w:val="0"/>
                <w:numId w:val="3"/>
              </w:numPr>
              <w:spacing w:after="60" w:before="0"/>
            </w:pPr>
            <w:r>
              <w:rPr>
                <w:rFonts w:ascii="Arial" w:cs="Arial" w:eastAsia="Arial" w:hAnsi="Arial"/>
                <w:sz w:val="20"/>
                <w:szCs w:val="20"/>
              </w:rPr>
              <w:t xml:space="preserve">What they lack: The ability to connect content investment to commercial outcomes</w:t>
            </w:r>
          </w:p>
          <w:p>
            <w:pPr>
              <w:pStyle w:val="ListParagraph"/>
              <w:numPr>
                <w:ilvl w:val="0"/>
                <w:numId w:val="3"/>
              </w:numPr>
              <w:spacing w:after="60" w:before="0"/>
            </w:pPr>
            <w:r>
              <w:rPr>
                <w:rFonts w:ascii="Arial" w:cs="Arial" w:eastAsia="Arial" w:hAnsi="Arial"/>
                <w:sz w:val="20"/>
                <w:szCs w:val="20"/>
              </w:rPr>
              <w:t xml:space="preserve">What we provide: A measurable pipeline where content and revenue are causally linked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0D6B" w:val="clear"/>
            <w:tcMar>
              <w:top w:type="dxa" w:w="120"/>
              <w:left w:type="dxa" w:w="200"/>
              <w:bottom w:type="dxa" w:w="120"/>
              <w:right w:type="dxa" w:w="200"/>
            </w:tcMar>
          </w:tcPr>
          <w:p>
            <w:r>
              <w:rPr>
                <w:rFonts w:ascii="Arial" w:cs="Arial" w:eastAsia="Arial" w:hAnsi="Arial"/>
                <w:b/>
                <w:bCs/>
                <w:color w:val="FFFFFF"/>
                <w:sz w:val="28"/>
                <w:szCs w:val="28"/>
              </w:rPr>
              <w:t xml:space="preserve">TIER 3 — SCALE</w:t>
            </w:r>
            <w:r>
              <w:rPr>
                <w:rFonts w:ascii="Arial" w:cs="Arial" w:eastAsia="Arial" w:hAnsi="Arial"/>
                <w:color w:val="FFFFFF"/>
                <w:sz w:val="22"/>
                <w:szCs w:val="22"/>
              </w:rPr>
              <w:t xml:space="preserve">   Score: 70–100</w:t>
            </w:r>
          </w:p>
          <w:p>
            <w:r>
              <w:rPr>
                <w:rFonts w:ascii="Arial" w:cs="Arial" w:eastAsia="Arial" w:hAnsi="Arial"/>
                <w:i/>
                <w:iCs/>
                <w:color w:val="FFFFFF"/>
                <w:sz w:val="20"/>
                <w:szCs w:val="20"/>
              </w:rPr>
              <w:t xml:space="preserve">Typical engagement: $9,000–$15,000+ | Full 4-Phase Pipeline</w:t>
            </w:r>
          </w:p>
        </w:tc>
      </w:tr>
      <w:tr>
        <w:tc>
          <w:tcPr>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80" w:before="0"/>
            </w:pPr>
            <w:r>
              <w:rPr>
                <w:rFonts w:ascii="Arial" w:cs="Arial" w:eastAsia="Arial" w:hAnsi="Arial"/>
                <w:color w:val="2C3E50"/>
                <w:sz w:val="22"/>
                <w:szCs w:val="22"/>
              </w:rPr>
              <w:t xml:space="preserve">The client has a functioning content system and proven conversion infrastructure. They are ready to scale — but scaling without a distribution engine means proportionally scaling cost. The Flywheel is their multiplier.</w:t>
            </w:r>
          </w:p>
          <w:p>
            <w:pPr>
              <w:pStyle w:val="ListParagraph"/>
              <w:numPr>
                <w:ilvl w:val="0"/>
                <w:numId w:val="3"/>
              </w:numPr>
              <w:spacing w:after="60" w:before="0"/>
            </w:pPr>
            <w:r>
              <w:rPr>
                <w:rFonts w:ascii="Arial" w:cs="Arial" w:eastAsia="Arial" w:hAnsi="Arial"/>
                <w:sz w:val="20"/>
                <w:szCs w:val="20"/>
              </w:rPr>
              <w:t xml:space="preserve">All 4 Phases deployed in full</w:t>
            </w:r>
          </w:p>
          <w:p>
            <w:pPr>
              <w:pStyle w:val="ListParagraph"/>
              <w:numPr>
                <w:ilvl w:val="0"/>
                <w:numId w:val="3"/>
              </w:numPr>
              <w:spacing w:after="60" w:before="0"/>
            </w:pPr>
            <w:r>
              <w:rPr>
                <w:rFonts w:ascii="Arial" w:cs="Arial" w:eastAsia="Arial" w:hAnsi="Arial"/>
                <w:sz w:val="20"/>
                <w:szCs w:val="20"/>
              </w:rPr>
              <w:t xml:space="preserve">Phase 4: Distribution Flywheel — Hub-and-Spoke SOP, full multi-channel repurposing system, per-channel optimisation</w:t>
            </w:r>
          </w:p>
          <w:p>
            <w:pPr>
              <w:pStyle w:val="ListParagraph"/>
              <w:numPr>
                <w:ilvl w:val="0"/>
                <w:numId w:val="3"/>
              </w:numPr>
              <w:spacing w:after="60" w:before="0"/>
            </w:pPr>
            <w:r>
              <w:rPr>
                <w:rFonts w:ascii="Arial" w:cs="Arial" w:eastAsia="Arial" w:hAnsi="Arial"/>
                <w:sz w:val="20"/>
                <w:szCs w:val="20"/>
              </w:rPr>
              <w:t xml:space="preserve">Advanced: Paid amplification strategy for highest-converting Hub pieces</w:t>
            </w:r>
          </w:p>
          <w:p>
            <w:pPr>
              <w:pStyle w:val="ListParagraph"/>
              <w:numPr>
                <w:ilvl w:val="0"/>
                <w:numId w:val="3"/>
              </w:numPr>
              <w:spacing w:after="60" w:before="0"/>
            </w:pPr>
            <w:r>
              <w:rPr>
                <w:rFonts w:ascii="Arial" w:cs="Arial" w:eastAsia="Arial" w:hAnsi="Arial"/>
                <w:sz w:val="20"/>
                <w:szCs w:val="20"/>
              </w:rPr>
              <w:t xml:space="preserve">Advanced: Content-led account-based marketing (ABM) programme</w:t>
            </w:r>
          </w:p>
          <w:p>
            <w:pPr>
              <w:pStyle w:val="ListParagraph"/>
              <w:numPr>
                <w:ilvl w:val="0"/>
                <w:numId w:val="3"/>
              </w:numPr>
              <w:spacing w:after="60" w:before="0"/>
            </w:pPr>
            <w:r>
              <w:rPr>
                <w:rFonts w:ascii="Arial" w:cs="Arial" w:eastAsia="Arial" w:hAnsi="Arial"/>
                <w:sz w:val="20"/>
                <w:szCs w:val="20"/>
              </w:rPr>
              <w:t xml:space="preserve">Deliverable: Full Content-to-Capital Operating Manual + Repurposing SOP + Distribution Calendar</w:t>
            </w:r>
          </w:p>
          <w:p>
            <w:pPr>
              <w:pStyle w:val="ListParagraph"/>
              <w:numPr>
                <w:ilvl w:val="0"/>
                <w:numId w:val="3"/>
              </w:numPr>
              <w:spacing w:after="60" w:before="0"/>
            </w:pPr>
            <w:r>
              <w:rPr>
                <w:rFonts w:ascii="Arial" w:cs="Arial" w:eastAsia="Arial" w:hAnsi="Arial"/>
                <w:sz w:val="20"/>
                <w:szCs w:val="20"/>
              </w:rPr>
              <w:t xml:space="preserve">What they lack: The production and distribution system to turn a mature strategy into compounding revenue growth</w:t>
            </w:r>
          </w:p>
          <w:p>
            <w:pPr>
              <w:pStyle w:val="ListParagraph"/>
              <w:numPr>
                <w:ilvl w:val="0"/>
                <w:numId w:val="3"/>
              </w:numPr>
              <w:spacing w:after="60" w:before="0"/>
            </w:pPr>
            <w:r>
              <w:rPr>
                <w:rFonts w:ascii="Arial" w:cs="Arial" w:eastAsia="Arial" w:hAnsi="Arial"/>
                <w:sz w:val="20"/>
                <w:szCs w:val="20"/>
              </w:rPr>
              <w:t xml:space="preserve">What we provide: The Flywheel — a self-reinforcing content machine that gets more efficient every quarter</w:t>
            </w:r>
          </w:p>
        </w:tc>
      </w:tr>
    </w:tbl>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0D2137"/>
          <w:sz w:val="36"/>
          <w:szCs w:val="36"/>
        </w:rPr>
        <w:t xml:space="preserve">TEMPLATE 1: CONTENT CALENDAR</w:t>
      </w:r>
    </w:p>
    <w:p>
      <w:pPr>
        <w:pStyle w:val="Heading3"/>
        <w:spacing w:after="80" w:before="180"/>
      </w:pPr>
      <w:r>
        <w:rPr>
          <w:rFonts w:ascii="Arial" w:cs="Arial" w:eastAsia="Arial" w:hAnsi="Arial"/>
          <w:b/>
          <w:bCs/>
          <w:color w:val="0D2137"/>
          <w:sz w:val="24"/>
          <w:szCs w:val="24"/>
        </w:rPr>
        <w:t xml:space="preserve">(Derived from Hub-and-Spoke + Pillar-Cluster Architecture)</w:t>
      </w:r>
    </w:p>
    <w:p>
      <w:pPr>
        <w:spacing w:after="20" w:before="0"/>
      </w:pPr>
      <w:r>
        <w:t xml:space="preserve"/>
      </w:r>
    </w:p>
    <w:p>
      <w:pPr>
        <w:spacing w:after="140" w:before="0"/>
      </w:pPr>
      <w:r>
        <w:rPr>
          <w:rFonts w:ascii="Arial" w:cs="Arial" w:eastAsia="Arial" w:hAnsi="Arial"/>
          <w:sz w:val="22"/>
          <w:szCs w:val="22"/>
        </w:rPr>
        <w:t xml:space="preserve">This calendar template operationalises the Distribution Flywheel. Each row represents one Hub piece. The columns map the 10 spokes that must be produced from it. Complete one Hub row per month. Never commission a spoke until the Hub is written.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760"/>
        <w:gridCol w:w="760"/>
        <w:gridCol w:w="760"/>
        <w:gridCol w:w="760"/>
        <w:gridCol w:w="760"/>
        <w:gridCol w:w="760"/>
        <w:gridCol w:w="760"/>
        <w:gridCol w:w="760"/>
      </w:tblGrid>
      <w:tr>
        <w:trPr>
          <w:tblHeader/>
        </w:trPr>
        <w:tc>
          <w:tcPr>
            <w:tcW w:type="dxa" w:w="10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Month</w:t>
            </w:r>
          </w:p>
        </w:tc>
        <w:tc>
          <w:tcPr>
            <w:tcW w:type="dxa" w:w="22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Hub Topic (Pillar)</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Blog</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Email</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LinkedIn</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Instagram</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X</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Video</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Infographic</w:t>
            </w:r>
          </w:p>
        </w:tc>
        <w:tc>
          <w:tcPr>
            <w:tcW w:type="dxa" w:w="7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PDF Lead Magnet</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0D2137"/>
                <w:sz w:val="20"/>
                <w:szCs w:val="20"/>
              </w:rPr>
              <w:t xml:space="preserve">January</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0D2137"/>
                <w:sz w:val="20"/>
                <w:szCs w:val="20"/>
              </w:rPr>
              <w:t xml:space="preserve">February</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0D2137"/>
                <w:sz w:val="20"/>
                <w:szCs w:val="20"/>
              </w:rPr>
              <w:t xml:space="preserve">March</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0D2137"/>
                <w:sz w:val="20"/>
                <w:szCs w:val="20"/>
              </w:rPr>
              <w:t xml:space="preserve">April</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0D2137"/>
                <w:sz w:val="20"/>
                <w:szCs w:val="20"/>
              </w:rPr>
              <w:t xml:space="preserve">May</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0D2137"/>
                <w:sz w:val="20"/>
                <w:szCs w:val="20"/>
              </w:rPr>
              <w:t xml:space="preserve">June</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0D2137"/>
                <w:sz w:val="20"/>
                <w:szCs w:val="20"/>
              </w:rPr>
              <w:t xml:space="preserve">Q3 Sprint</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20"/>
                <w:szCs w:val="20"/>
              </w:rPr>
              <w:t xml:space="preserve">□</w:t>
            </w:r>
          </w:p>
        </w:tc>
      </w:tr>
      <w:tr>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0D2137"/>
                <w:sz w:val="20"/>
                <w:szCs w:val="20"/>
              </w:rPr>
              <w:t xml:space="preserve">Q4 Sprint</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c>
          <w:tcPr>
            <w:tcW w:type="dxa" w:w="7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20"/>
                <w:szCs w:val="20"/>
              </w:rPr>
              <w:t xml:space="preserve">□</w:t>
            </w:r>
          </w:p>
        </w:tc>
      </w:tr>
    </w:tbl>
    <w:p>
      <w:pPr>
        <w:spacing w:after="40" w:before="0"/>
      </w:pPr>
      <w:r>
        <w:t xml:space="preserve"/>
      </w:r>
    </w:p>
    <w:p>
      <w:pPr>
        <w:pStyle w:val="Heading1"/>
        <w:spacing w:after="160" w:before="320"/>
      </w:pPr>
      <w:r>
        <w:rPr>
          <w:rFonts w:ascii="Arial" w:cs="Arial" w:eastAsia="Arial" w:hAnsi="Arial"/>
          <w:b/>
          <w:bCs/>
          <w:color w:val="0D2137"/>
          <w:sz w:val="36"/>
          <w:szCs w:val="36"/>
        </w:rPr>
        <w:t xml:space="preserve">TEMPLATE 2: SEO KEYWORD MAPPING SHEET</w:t>
      </w:r>
    </w:p>
    <w:p>
      <w:pPr>
        <w:pStyle w:val="Heading3"/>
        <w:spacing w:after="80" w:before="180"/>
      </w:pPr>
      <w:r>
        <w:rPr>
          <w:rFonts w:ascii="Arial" w:cs="Arial" w:eastAsia="Arial" w:hAnsi="Arial"/>
          <w:b/>
          <w:bCs/>
          <w:color w:val="0D2137"/>
          <w:sz w:val="24"/>
          <w:szCs w:val="24"/>
        </w:rPr>
        <w:t xml:space="preserve">(Derived from Pillar-and-Cluster Architecture)</w:t>
      </w:r>
    </w:p>
    <w:p>
      <w:pPr>
        <w:spacing w:after="20" w:before="0"/>
      </w:pPr>
      <w:r>
        <w:t xml:space="preserve"/>
      </w:r>
    </w:p>
    <w:p>
      <w:pPr>
        <w:spacing w:after="140" w:before="0"/>
      </w:pPr>
      <w:r>
        <w:rPr>
          <w:rFonts w:ascii="Arial" w:cs="Arial" w:eastAsia="Arial" w:hAnsi="Arial"/>
          <w:sz w:val="22"/>
          <w:szCs w:val="22"/>
        </w:rPr>
        <w:t xml:space="preserve">Assign every target keyword to its place in the pillar-cluster architecture before any content is commissioned. This sheet prevents keyword cannibalisation and ensures every piece of content has a clear, non-overlapping purpose in the authority 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100"/>
        <w:gridCol w:w="1000"/>
        <w:gridCol w:w="1000"/>
        <w:gridCol w:w="1060"/>
      </w:tblGrid>
      <w:tr>
        <w:trPr>
          <w:tblHeader/>
        </w:trPr>
        <w:tc>
          <w:tcPr>
            <w:tcW w:type="dxa" w:w="18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Keyword / Phrase</w:t>
            </w:r>
          </w:p>
        </w:tc>
        <w:tc>
          <w:tcPr>
            <w:tcW w:type="dxa" w:w="22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Target URL / Page Title</w:t>
            </w:r>
          </w:p>
        </w:tc>
        <w:tc>
          <w:tcPr>
            <w:tcW w:type="dxa" w:w="12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Type</w:t>
            </w:r>
          </w:p>
        </w:tc>
        <w:tc>
          <w:tcPr>
            <w:tcW w:type="dxa" w:w="11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Monthly Vol.</w:t>
            </w:r>
          </w:p>
        </w:tc>
        <w:tc>
          <w:tcPr>
            <w:tcW w:type="dxa" w:w="10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Difficulty</w:t>
            </w:r>
          </w:p>
        </w:tc>
        <w:tc>
          <w:tcPr>
            <w:tcW w:type="dxa" w:w="100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STDC Stage</w:t>
            </w:r>
          </w:p>
        </w:tc>
        <w:tc>
          <w:tcPr>
            <w:tcW w:type="dxa" w:w="1060"/>
            <w:tcBorders>
              <w:top w:val="single" w:color="D0D7DE" w:sz="1"/>
              <w:left w:val="single" w:color="D0D7DE" w:sz="1"/>
              <w:bottom w:val="single" w:color="D0D7DE" w:sz="1"/>
              <w:right w:val="single" w:color="D0D7DE" w:sz="1"/>
            </w:tcBorders>
            <w:shd w:fill="0D2137" w:val="clear"/>
            <w:tcMar>
              <w:top w:type="dxa" w:w="60"/>
              <w:left w:type="dxa" w:w="80"/>
              <w:bottom w:type="dxa" w:w="60"/>
              <w:right w:type="dxa" w:w="80"/>
            </w:tcMar>
          </w:tcPr>
          <w:p>
            <w:r>
              <w:rPr>
                <w:rFonts w:ascii="Arial" w:cs="Arial" w:eastAsia="Arial" w:hAnsi="Arial"/>
                <w:b/>
                <w:bCs/>
                <w:color w:val="FFFFFF"/>
                <w:sz w:val="18"/>
                <w:szCs w:val="18"/>
              </w:rPr>
              <w:t xml:space="preserve">Status</w:t>
            </w:r>
          </w:p>
        </w:tc>
      </w:tr>
      <w:tr>
        <w:tc>
          <w:tcPr>
            <w:tcW w:type="dxa" w:w="18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19"/>
                <w:szCs w:val="19"/>
              </w:rPr>
              <w:t xml:space="preserve">[PILLAR KEYWORD]</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19"/>
                <w:szCs w:val="19"/>
              </w:rPr>
              <w:t xml:space="preserve">[Pillar Page Title]</w:t>
            </w:r>
          </w:p>
        </w:tc>
        <w:tc>
          <w:tcPr>
            <w:tcW w:type="dxa" w:w="1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PILLAR</w:t>
            </w:r>
          </w:p>
        </w:tc>
        <w:tc>
          <w:tcPr>
            <w:tcW w:type="dxa" w:w="11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1,000+</w:t>
            </w:r>
          </w:p>
        </w:tc>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Low–Med</w:t>
            </w:r>
          </w:p>
        </w:tc>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THINK/DO</w:t>
            </w:r>
          </w:p>
        </w:tc>
        <w:tc>
          <w:tcPr>
            <w:tcW w:type="dxa" w:w="10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Live</w:t>
            </w:r>
          </w:p>
        </w:tc>
      </w:tr>
      <w:tr>
        <w:tc>
          <w:tcPr>
            <w:tcW w:type="dxa" w:w="18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19"/>
                <w:szCs w:val="19"/>
              </w:rPr>
              <w:t xml:space="preserve">[Cluster Topic 1]</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19"/>
                <w:szCs w:val="19"/>
              </w:rPr>
              <w:t xml:space="preserve">[Cluster Page 1 Title]</w:t>
            </w:r>
          </w:p>
        </w:tc>
        <w:tc>
          <w:tcPr>
            <w:tcW w:type="dxa" w:w="1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CLUSTER</w:t>
            </w:r>
          </w:p>
        </w:tc>
        <w:tc>
          <w:tcPr>
            <w:tcW w:type="dxa" w:w="11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200–500</w:t>
            </w:r>
          </w:p>
        </w:tc>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Low</w:t>
            </w:r>
          </w:p>
        </w:tc>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THINK</w:t>
            </w:r>
          </w:p>
        </w:tc>
        <w:tc>
          <w:tcPr>
            <w:tcW w:type="dxa" w:w="10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Draft</w:t>
            </w:r>
          </w:p>
        </w:tc>
      </w:tr>
      <w:tr>
        <w:tc>
          <w:tcPr>
            <w:tcW w:type="dxa" w:w="18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19"/>
                <w:szCs w:val="19"/>
              </w:rPr>
              <w:t xml:space="preserve">[Cluster Topic 2]</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19"/>
                <w:szCs w:val="19"/>
              </w:rPr>
              <w:t xml:space="preserve">[Cluster Page 2 Title]</w:t>
            </w:r>
          </w:p>
        </w:tc>
        <w:tc>
          <w:tcPr>
            <w:tcW w:type="dxa" w:w="1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CLUSTER</w:t>
            </w:r>
          </w:p>
        </w:tc>
        <w:tc>
          <w:tcPr>
            <w:tcW w:type="dxa" w:w="11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100–300</w:t>
            </w:r>
          </w:p>
        </w:tc>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Low</w:t>
            </w:r>
          </w:p>
        </w:tc>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SEE</w:t>
            </w:r>
          </w:p>
        </w:tc>
        <w:tc>
          <w:tcPr>
            <w:tcW w:type="dxa" w:w="10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Planned</w:t>
            </w:r>
          </w:p>
        </w:tc>
      </w:tr>
      <w:tr>
        <w:tc>
          <w:tcPr>
            <w:tcW w:type="dxa" w:w="18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19"/>
                <w:szCs w:val="19"/>
              </w:rPr>
              <w:t xml:space="preserve">[Cluster Topic 3]</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19"/>
                <w:szCs w:val="19"/>
              </w:rPr>
              <w:t xml:space="preserve">[Cluster Page 3 Title]</w:t>
            </w:r>
          </w:p>
        </w:tc>
        <w:tc>
          <w:tcPr>
            <w:tcW w:type="dxa" w:w="1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CLUSTER</w:t>
            </w:r>
          </w:p>
        </w:tc>
        <w:tc>
          <w:tcPr>
            <w:tcW w:type="dxa" w:w="11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50–200</w:t>
            </w:r>
          </w:p>
        </w:tc>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Very Low</w:t>
            </w:r>
          </w:p>
        </w:tc>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THINK</w:t>
            </w:r>
          </w:p>
        </w:tc>
        <w:tc>
          <w:tcPr>
            <w:tcW w:type="dxa" w:w="10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Planned</w:t>
            </w:r>
          </w:p>
        </w:tc>
      </w:tr>
      <w:tr>
        <w:tc>
          <w:tcPr>
            <w:tcW w:type="dxa" w:w="18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19"/>
                <w:szCs w:val="19"/>
              </w:rPr>
              <w:t xml:space="preserve">[Cluster Topic 4]</w:t>
            </w:r>
          </w:p>
        </w:tc>
        <w:tc>
          <w:tcPr>
            <w:tcW w:type="dxa" w:w="2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6B7280"/>
                <w:sz w:val="19"/>
                <w:szCs w:val="19"/>
              </w:rPr>
              <w:t xml:space="preserve">[Cluster Page 4 Title]</w:t>
            </w:r>
          </w:p>
        </w:tc>
        <w:tc>
          <w:tcPr>
            <w:tcW w:type="dxa" w:w="12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CLUSTER</w:t>
            </w:r>
          </w:p>
        </w:tc>
        <w:tc>
          <w:tcPr>
            <w:tcW w:type="dxa" w:w="11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100–400</w:t>
            </w:r>
          </w:p>
        </w:tc>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Low</w:t>
            </w:r>
          </w:p>
        </w:tc>
        <w:tc>
          <w:tcPr>
            <w:tcW w:type="dxa" w:w="10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DO</w:t>
            </w:r>
          </w:p>
        </w:tc>
        <w:tc>
          <w:tcPr>
            <w:tcW w:type="dxa" w:w="10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color w:val="2C3E50"/>
                <w:sz w:val="19"/>
                <w:szCs w:val="19"/>
              </w:rPr>
              <w:t xml:space="preserve">Planned</w:t>
            </w:r>
          </w:p>
        </w:tc>
      </w:tr>
      <w:tr>
        <w:tc>
          <w:tcPr>
            <w:tcW w:type="dxa" w:w="18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19"/>
                <w:szCs w:val="19"/>
              </w:rPr>
              <w:t xml:space="preserve">[Long-tail Q]</w:t>
            </w:r>
          </w:p>
        </w:tc>
        <w:tc>
          <w:tcPr>
            <w:tcW w:type="dxa" w:w="2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6B7280"/>
                <w:sz w:val="19"/>
                <w:szCs w:val="19"/>
              </w:rPr>
              <w:t xml:space="preserve">[FAQ / Support Page]</w:t>
            </w:r>
          </w:p>
        </w:tc>
        <w:tc>
          <w:tcPr>
            <w:tcW w:type="dxa" w:w="12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CLUSTER</w:t>
            </w:r>
          </w:p>
        </w:tc>
        <w:tc>
          <w:tcPr>
            <w:tcW w:type="dxa" w:w="11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50–150</w:t>
            </w:r>
          </w:p>
        </w:tc>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Very Low</w:t>
            </w:r>
          </w:p>
        </w:tc>
        <w:tc>
          <w:tcPr>
            <w:tcW w:type="dxa" w:w="100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CARE</w:t>
            </w:r>
          </w:p>
        </w:tc>
        <w:tc>
          <w:tcPr>
            <w:tcW w:type="dxa" w:w="1060"/>
            <w:tcBorders>
              <w:top w:val="single" w:color="D0D7DE" w:sz="1"/>
              <w:left w:val="single" w:color="D0D7DE" w:sz="1"/>
              <w:bottom w:val="single" w:color="D0D7DE" w:sz="1"/>
              <w:right w:val="single" w:color="D0D7DE" w:sz="1"/>
            </w:tcBorders>
            <w:tcMar>
              <w:top w:type="dxa" w:w="60"/>
              <w:left w:type="dxa" w:w="80"/>
              <w:bottom w:type="dxa" w:w="60"/>
              <w:right w:type="dxa" w:w="80"/>
            </w:tcMar>
          </w:tcPr>
          <w:p>
            <w:r>
              <w:rPr>
                <w:rFonts w:ascii="Arial" w:cs="Arial" w:eastAsia="Arial" w:hAnsi="Arial"/>
                <w:color w:val="2C3E50"/>
                <w:sz w:val="19"/>
                <w:szCs w:val="19"/>
              </w:rPr>
              <w:t xml:space="preserve">Planned</w:t>
            </w:r>
          </w:p>
        </w:tc>
      </w:tr>
    </w:tbl>
    <w:p>
      <w:r>
        <w:br w:type="page"/>
      </w:r>
    </w:p>
    <w:p>
      <w:pPr>
        <w:pStyle w:val="Heading1"/>
        <w:spacing w:after="160" w:before="320"/>
      </w:pPr>
      <w:r>
        <w:rPr>
          <w:rFonts w:ascii="Arial" w:cs="Arial" w:eastAsia="Arial" w:hAnsi="Arial"/>
          <w:b/>
          <w:bCs/>
          <w:color w:val="0D2137"/>
          <w:sz w:val="36"/>
          <w:szCs w:val="36"/>
        </w:rPr>
        <w:t xml:space="preserve">THE CONTENT-TO-CAPITAL FLYWHEEL</w:t>
      </w:r>
    </w:p>
    <w:p>
      <w:pPr>
        <w:pBdr>
          <w:bottom w:val="single" w:color="C9922A" w:sz="8" w:space="1"/>
        </w:pBdr>
        <w:spacing w:after="60" w:before="60"/>
      </w:pPr>
      <w:r>
        <w:t xml:space="preserve"/>
      </w:r>
    </w:p>
    <w:p>
      <w:pPr>
        <w:spacing w:after="20" w:before="0"/>
      </w:pPr>
      <w:r>
        <w:t xml:space="preserve"/>
      </w:r>
    </w:p>
    <w:p>
      <w:pPr>
        <w:spacing w:after="140" w:before="0"/>
      </w:pPr>
      <w:r>
        <w:rPr>
          <w:rFonts w:ascii="Arial" w:cs="Arial" w:eastAsia="Arial" w:hAnsi="Arial"/>
          <w:sz w:val="22"/>
          <w:szCs w:val="22"/>
        </w:rPr>
        <w:t xml:space="preserve">The flywheel is the visual proof of why the Content-to-Capital Pipeline is a system — not a service. Each phase feeds the next. Authority (Phase 2) earns the attention that Conversion (Phase 3) monetises. Revenue funds the Hub production that powers Distribution (Phase 4). Distribution drives more Reach, which feeds back into the Audit insights of Phase 1. The loop is self-reinforcing and compounds over time.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200"/>
              <w:left w:type="dxa" w:w="300"/>
              <w:bottom w:type="dxa" w:w="200"/>
              <w:right w:type="dxa" w:w="300"/>
            </w:tcMar>
          </w:tcPr>
          <w:p>
            <w:pPr>
              <w:spacing w:after="120"/>
              <w:jc w:val="center"/>
            </w:pPr>
            <w:r>
              <w:rPr>
                <w:rFonts w:ascii="Arial" w:cs="Arial" w:eastAsia="Arial" w:hAnsi="Arial"/>
                <w:b/>
                <w:bCs/>
                <w:color w:val="C9922A"/>
                <w:sz w:val="30"/>
                <w:szCs w:val="30"/>
              </w:rPr>
              <w:t xml:space="preserve">THE CONTENT-TO-CAPITAL FLYWHEEL</w:t>
            </w:r>
          </w:p>
          <w:p>
            <w:pPr>
              <w:spacing w:after="200"/>
              <w:jc w:val="center"/>
            </w:pPr>
            <w:r>
              <w:rPr>
                <w:rFonts w:ascii="Arial" w:cs="Arial" w:eastAsia="Arial" w:hAnsi="Arial"/>
                <w:i/>
                <w:iCs/>
                <w:color w:val="FFFFFF"/>
                <w:sz w:val="22"/>
                <w:szCs w:val="22"/>
              </w:rPr>
              <w:t xml:space="preserve">A self-reinforcing system where every phase compounds the next</w:t>
            </w:r>
          </w:p>
          <w:p>
            <w:pPr>
              <w:spacing w:after="80"/>
              <w:jc w:val="center"/>
            </w:pPr>
            <w:r>
              <w:rPr>
                <w:rFonts w:ascii="Arial" w:cs="Arial" w:eastAsia="Arial" w:hAnsi="Arial"/>
                <w:b/>
                <w:bCs/>
                <w:color w:val="4E7C86"/>
                <w:sz w:val="22"/>
                <w:szCs w:val="22"/>
              </w:rPr>
              <w:t xml:space="preserve">① INTELLIGENCE AUDIT  →  ② AUTHORITY ENGINE  →  ③ CONVERSION FUNNEL  →  ④ DISTRIBUTION FLYWHEEL</w:t>
            </w:r>
          </w:p>
          <w:p>
            <w:pPr>
              <w:spacing w:after="80"/>
              <w:jc w:val="center"/>
            </w:pPr>
            <w:r>
              <w:rPr>
                <w:rFonts w:ascii="Arial" w:cs="Arial" w:eastAsia="Arial" w:hAnsi="Arial"/>
                <w:color w:val="C9922A"/>
                <w:sz w:val="20"/>
                <w:szCs w:val="20"/>
              </w:rPr>
              <w:t xml:space="preserve">                            ↑                                                                                                      |</w:t>
            </w:r>
          </w:p>
          <w:p>
            <w:pPr>
              <w:spacing w:after="0"/>
              <w:jc w:val="center"/>
            </w:pPr>
            <w:r>
              <w:rPr>
                <w:rFonts w:ascii="Arial" w:cs="Arial" w:eastAsia="Arial" w:hAnsi="Arial"/>
                <w:color w:val="C9922A"/>
                <w:sz w:val="20"/>
                <w:szCs w:val="20"/>
              </w:rPr>
              <w:t xml:space="preserve">                            └─────────────── COMPOUNDING GROWTH ───────────────────┘</w:t>
            </w:r>
          </w:p>
        </w:tc>
      </w:tr>
    </w:tbl>
    <w:p>
      <w:pPr>
        <w:spacing w:after="40" w:before="0"/>
      </w:pPr>
      <w:r>
        <w:t xml:space="preserve"/>
      </w:r>
    </w:p>
    <w:p>
      <w:pPr>
        <w:pStyle w:val="Heading2"/>
        <w:spacing w:after="120" w:before="240"/>
      </w:pPr>
      <w:r>
        <w:rPr>
          <w:rFonts w:ascii="Arial" w:cs="Arial" w:eastAsia="Arial" w:hAnsi="Arial"/>
          <w:b/>
          <w:bCs/>
          <w:color w:val="0E7C86"/>
          <w:sz w:val="28"/>
          <w:szCs w:val="28"/>
        </w:rPr>
        <w:t xml:space="preserve">Mermaid.js Flywheel Diagram (For Presentations)</w:t>
      </w:r>
    </w:p>
    <w:p>
      <w:pPr>
        <w:spacing w:after="140" w:before="0"/>
      </w:pPr>
      <w:r>
        <w:rPr>
          <w:rFonts w:ascii="Arial" w:cs="Arial" w:eastAsia="Arial" w:hAnsi="Arial"/>
          <w:sz w:val="22"/>
          <w:szCs w:val="22"/>
        </w:rPr>
        <w:t xml:space="preserve">Copy this code into any Mermaid-compatible renderer (Notion, GitLab, GitHub, or slides.mermaid.live) to produce a live flowchart for client presentations and sales decks.</w:t>
      </w:r>
    </w:p>
    <w:p>
      <w:pPr>
        <w:spacing w:after="20" w:before="0"/>
      </w:pPr>
      <w:r>
        <w:t xml:space="preserve"/>
      </w:r>
    </w:p>
    <w:p>
      <w:pPr>
        <w:pBdr>
          <w:top w:val="single" w:color="0E7C86" w:sz="4"/>
          <w:bottom w:val="single" w:color="0E7C86" w:sz="4"/>
          <w:left w:val="single" w:color="0E7C86" w:sz="4"/>
          <w:right w:val="single" w:color="0E7C86" w:sz="4"/>
        </w:pBdr>
        <w:shd w:fill="0D1117" w:val="clear"/>
        <w:spacing w:after="0" w:before="0"/>
      </w:pPr>
      <w:r>
        <w:rPr>
          <w:rFonts w:ascii="Arial" w:cs="Arial" w:eastAsia="Arial" w:hAnsi="Arial"/>
          <w:color w:val="58A6FF"/>
          <w:sz w:val="18"/>
          <w:szCs w:val="18"/>
        </w:rPr>
        <w:t xml:space="preserve">flowchart LR</w:t>
      </w:r>
    </w:p>
    <w:p>
      <w:pPr>
        <w:shd w:fill="0D1117" w:val="clear"/>
      </w:pPr>
      <w:r>
        <w:rPr>
          <w:rFonts w:ascii="Courier New" w:cs="Courier New" w:eastAsia="Courier New" w:hAnsi="Courier New"/>
          <w:color w:val="E6EDF3"/>
          <w:sz w:val="18"/>
          <w:szCs w:val="18"/>
        </w:rPr>
        <w:t xml:space="preserve">    subgraph AUDIT["① INTELLIGENCE AUDIT"]</w:t>
      </w:r>
    </w:p>
    <w:p>
      <w:pPr>
        <w:shd w:fill="0D1117" w:val="clear"/>
      </w:pPr>
      <w:r>
        <w:rPr>
          <w:rFonts w:ascii="Courier New" w:cs="Courier New" w:eastAsia="Courier New" w:hAnsi="Courier New"/>
          <w:color w:val="E6EDF3"/>
          <w:sz w:val="18"/>
          <w:szCs w:val="18"/>
        </w:rPr>
        <w:t xml:space="preserve">        A1[STDC Intent Mapping] --&gt; A2[Content Gap Analysis]</w:t>
      </w:r>
    </w:p>
    <w:p>
      <w:pPr>
        <w:shd w:fill="0D1117" w:val="clear"/>
      </w:pPr>
      <w:r>
        <w:rPr>
          <w:rFonts w:ascii="Courier New" w:cs="Courier New" w:eastAsia="Courier New" w:hAnsi="Courier New"/>
          <w:color w:val="E6EDF3"/>
          <w:sz w:val="18"/>
          <w:szCs w:val="18"/>
        </w:rPr>
        <w:t xml:space="preserve">        A2 --&gt; A3[Content Intelligence Report]</w:t>
      </w:r>
    </w:p>
    <w:p>
      <w:pPr>
        <w:shd w:fill="0D1117" w:val="clear"/>
      </w:pPr>
      <w:r>
        <w:rPr>
          <w:rFonts w:ascii="Courier New" w:cs="Courier New" w:eastAsia="Courier New" w:hAnsi="Courier New"/>
          <w:color w:val="E6EDF3"/>
          <w:sz w:val="18"/>
          <w:szCs w:val="18"/>
        </w:rPr>
        <w:t xml:space="preserve">    end</w:t>
      </w:r>
    </w:p>
    <w:p>
      <w:pPr>
        <w:shd w:fill="0D1117" w:val="clear"/>
      </w:pPr>
      <w:r>
        <w:rPr>
          <w:rFonts w:ascii="Courier New" w:cs="Courier New" w:eastAsia="Courier New" w:hAnsi="Courier New"/>
          <w:color w:val="E6EDF3"/>
          <w:sz w:val="18"/>
          <w:szCs w:val="18"/>
        </w:rPr>
        <w:t xml:space="preserve">    subgraph AUTHORITY["② AUTHORITY ENGINE"]</w:t>
      </w:r>
    </w:p>
    <w:p>
      <w:pPr>
        <w:shd w:fill="0D1117" w:val="clear"/>
      </w:pPr>
      <w:r>
        <w:rPr>
          <w:rFonts w:ascii="Courier New" w:cs="Courier New" w:eastAsia="Courier New" w:hAnsi="Courier New"/>
          <w:color w:val="E6EDF3"/>
          <w:sz w:val="18"/>
          <w:szCs w:val="18"/>
        </w:rPr>
        <w:t xml:space="preserve">        B1[Pillar Pages] --&gt; B2[Cluster Content]</w:t>
      </w:r>
    </w:p>
    <w:p>
      <w:pPr>
        <w:shd w:fill="0D1117" w:val="clear"/>
      </w:pPr>
      <w:r>
        <w:rPr>
          <w:rFonts w:ascii="Courier New" w:cs="Courier New" w:eastAsia="Courier New" w:hAnsi="Courier New"/>
          <w:color w:val="E6EDF3"/>
          <w:sz w:val="18"/>
          <w:szCs w:val="18"/>
        </w:rPr>
        <w:t xml:space="preserve">        B2 --&gt; B3[Internal Link Architecture]</w:t>
      </w:r>
    </w:p>
    <w:p>
      <w:pPr>
        <w:shd w:fill="0D1117" w:val="clear"/>
      </w:pPr>
      <w:r>
        <w:rPr>
          <w:rFonts w:ascii="Courier New" w:cs="Courier New" w:eastAsia="Courier New" w:hAnsi="Courier New"/>
          <w:color w:val="E6EDF3"/>
          <w:sz w:val="18"/>
          <w:szCs w:val="18"/>
        </w:rPr>
        <w:t xml:space="preserve">    end</w:t>
      </w:r>
    </w:p>
    <w:p>
      <w:pPr>
        <w:shd w:fill="0D1117" w:val="clear"/>
      </w:pPr>
      <w:r>
        <w:rPr>
          <w:rFonts w:ascii="Courier New" w:cs="Courier New" w:eastAsia="Courier New" w:hAnsi="Courier New"/>
          <w:color w:val="E6EDF3"/>
          <w:sz w:val="18"/>
          <w:szCs w:val="18"/>
        </w:rPr>
        <w:t xml:space="preserve">    subgraph CONVERT["③ CONVERSION FUNNEL"]</w:t>
      </w:r>
    </w:p>
    <w:p>
      <w:pPr>
        <w:shd w:fill="0D1117" w:val="clear"/>
      </w:pPr>
      <w:r>
        <w:rPr>
          <w:rFonts w:ascii="Courier New" w:cs="Courier New" w:eastAsia="Courier New" w:hAnsi="Courier New"/>
          <w:color w:val="E6EDF3"/>
          <w:sz w:val="18"/>
          <w:szCs w:val="18"/>
        </w:rPr>
        <w:t xml:space="preserve">        C1[RACE KPI Framework] --&gt; C2[Email Nurture Sequences]</w:t>
      </w:r>
    </w:p>
    <w:p>
      <w:pPr>
        <w:shd w:fill="0D1117" w:val="clear"/>
      </w:pPr>
      <w:r>
        <w:rPr>
          <w:rFonts w:ascii="Courier New" w:cs="Courier New" w:eastAsia="Courier New" w:hAnsi="Courier New"/>
          <w:color w:val="E6EDF3"/>
          <w:sz w:val="18"/>
          <w:szCs w:val="18"/>
        </w:rPr>
        <w:t xml:space="preserve">        C2 --&gt; C3[Content-Attributed Revenue]</w:t>
      </w:r>
    </w:p>
    <w:p>
      <w:pPr>
        <w:shd w:fill="0D1117" w:val="clear"/>
      </w:pPr>
      <w:r>
        <w:rPr>
          <w:rFonts w:ascii="Courier New" w:cs="Courier New" w:eastAsia="Courier New" w:hAnsi="Courier New"/>
          <w:color w:val="E6EDF3"/>
          <w:sz w:val="18"/>
          <w:szCs w:val="18"/>
        </w:rPr>
        <w:t xml:space="preserve">    end</w:t>
      </w:r>
    </w:p>
    <w:p>
      <w:pPr>
        <w:shd w:fill="0D1117" w:val="clear"/>
      </w:pPr>
      <w:r>
        <w:rPr>
          <w:rFonts w:ascii="Courier New" w:cs="Courier New" w:eastAsia="Courier New" w:hAnsi="Courier New"/>
          <w:color w:val="E6EDF3"/>
          <w:sz w:val="18"/>
          <w:szCs w:val="18"/>
        </w:rPr>
        <w:t xml:space="preserve">    subgraph DISTRIBUTE["④ DISTRIBUTION FLYWHEEL"]</w:t>
      </w:r>
    </w:p>
    <w:p>
      <w:pPr>
        <w:shd w:fill="0D1117" w:val="clear"/>
      </w:pPr>
      <w:r>
        <w:rPr>
          <w:rFonts w:ascii="Courier New" w:cs="Courier New" w:eastAsia="Courier New" w:hAnsi="Courier New"/>
          <w:color w:val="E6EDF3"/>
          <w:sz w:val="18"/>
          <w:szCs w:val="18"/>
        </w:rPr>
        <w:t xml:space="preserve">        D1[Hub Piece] --&gt; D2[10 Spoke Formats]</w:t>
      </w:r>
    </w:p>
    <w:p>
      <w:pPr>
        <w:shd w:fill="0D1117" w:val="clear"/>
      </w:pPr>
      <w:r>
        <w:rPr>
          <w:rFonts w:ascii="Courier New" w:cs="Courier New" w:eastAsia="Courier New" w:hAnsi="Courier New"/>
          <w:color w:val="E6EDF3"/>
          <w:sz w:val="18"/>
          <w:szCs w:val="18"/>
        </w:rPr>
        <w:t xml:space="preserve">        D2 --&gt; D3[Multi-Channel Distribution]</w:t>
      </w:r>
    </w:p>
    <w:p>
      <w:pPr>
        <w:shd w:fill="0D1117" w:val="clear"/>
      </w:pPr>
      <w:r>
        <w:rPr>
          <w:rFonts w:ascii="Courier New" w:cs="Courier New" w:eastAsia="Courier New" w:hAnsi="Courier New"/>
          <w:color w:val="E6EDF3"/>
          <w:sz w:val="18"/>
          <w:szCs w:val="18"/>
        </w:rPr>
        <w:t xml:space="preserve">    end</w:t>
      </w:r>
    </w:p>
    <w:p>
      <w:pPr>
        <w:shd w:fill="0D1117" w:val="clear"/>
      </w:pPr>
      <w:r>
        <w:rPr>
          <w:rFonts w:ascii="Courier New" w:cs="Courier New" w:eastAsia="Courier New" w:hAnsi="Courier New"/>
          <w:color w:val="E6EDF3"/>
          <w:sz w:val="18"/>
          <w:szCs w:val="18"/>
        </w:rPr>
        <w:t xml:space="preserve">    AUDIT --&gt; AUTHORITY</w:t>
      </w:r>
    </w:p>
    <w:p>
      <w:pPr>
        <w:shd w:fill="0D1117" w:val="clear"/>
      </w:pPr>
      <w:r>
        <w:rPr>
          <w:rFonts w:ascii="Courier New" w:cs="Courier New" w:eastAsia="Courier New" w:hAnsi="Courier New"/>
          <w:color w:val="E6EDF3"/>
          <w:sz w:val="18"/>
          <w:szCs w:val="18"/>
        </w:rPr>
        <w:t xml:space="preserve">    AUTHORITY --&gt; CONVERT</w:t>
      </w:r>
    </w:p>
    <w:p>
      <w:pPr>
        <w:shd w:fill="0D1117" w:val="clear"/>
      </w:pPr>
      <w:r>
        <w:rPr>
          <w:rFonts w:ascii="Courier New" w:cs="Courier New" w:eastAsia="Courier New" w:hAnsi="Courier New"/>
          <w:color w:val="E6EDF3"/>
          <w:sz w:val="18"/>
          <w:szCs w:val="18"/>
        </w:rPr>
        <w:t xml:space="preserve">    CONVERT --&gt; DISTRIBUTE</w:t>
      </w:r>
    </w:p>
    <w:p>
      <w:pPr>
        <w:shd w:fill="0D1117" w:val="clear"/>
      </w:pPr>
      <w:r>
        <w:rPr>
          <w:rFonts w:ascii="Courier New" w:cs="Courier New" w:eastAsia="Courier New" w:hAnsi="Courier New"/>
          <w:color w:val="E6EDF3"/>
          <w:sz w:val="18"/>
          <w:szCs w:val="18"/>
        </w:rPr>
        <w:t xml:space="preserve">    DISTRIBUTE --&gt;|Compounding Reach| AUDIT</w:t>
      </w:r>
    </w:p>
    <w:p>
      <w:pPr>
        <w:shd w:fill="0D1117" w:val="clear"/>
      </w:pPr>
      <w:r>
        <w:rPr>
          <w:rFonts w:ascii="Courier New" w:cs="Courier New" w:eastAsia="Courier New" w:hAnsi="Courier New"/>
          <w:color w:val="E6EDF3"/>
          <w:sz w:val="18"/>
          <w:szCs w:val="18"/>
        </w:rPr>
        <w:t xml:space="preserve">    style AUDIT fill:#0D3B44,stroke:#0E7C86,color:#ffffff</w:t>
      </w:r>
    </w:p>
    <w:p>
      <w:pPr>
        <w:shd w:fill="0D1117" w:val="clear"/>
      </w:pPr>
      <w:r>
        <w:rPr>
          <w:rFonts w:ascii="Courier New" w:cs="Courier New" w:eastAsia="Courier New" w:hAnsi="Courier New"/>
          <w:color w:val="E6EDF3"/>
          <w:sz w:val="18"/>
          <w:szCs w:val="18"/>
        </w:rPr>
        <w:t xml:space="preserve">    style AUTHORITY fill:#0D3B27,stroke:#0D6B3E,color:#ffffff</w:t>
      </w:r>
    </w:p>
    <w:p>
      <w:pPr>
        <w:shd w:fill="0D1117" w:val="clear"/>
      </w:pPr>
      <w:r>
        <w:rPr>
          <w:rFonts w:ascii="Courier New" w:cs="Courier New" w:eastAsia="Courier New" w:hAnsi="Courier New"/>
          <w:color w:val="E6EDF3"/>
          <w:sz w:val="18"/>
          <w:szCs w:val="18"/>
        </w:rPr>
        <w:t xml:space="preserve">    style CONVERT fill:#3B1F0D,stroke:#C9922A,color:#ffffff</w:t>
      </w:r>
    </w:p>
    <w:p>
      <w:pPr>
        <w:shd w:fill="0D1117" w:val="clear"/>
      </w:pPr>
      <w:r>
        <w:rPr>
          <w:rFonts w:ascii="Courier New" w:cs="Courier New" w:eastAsia="Courier New" w:hAnsi="Courier New"/>
          <w:color w:val="E6EDF3"/>
          <w:sz w:val="18"/>
          <w:szCs w:val="18"/>
        </w:rPr>
        <w:t xml:space="preserve">    style DISTRIBUTE fill:#250D3B,stroke:#6B3A9E,color:#ffffff</w:t>
      </w:r>
    </w:p>
    <w:p>
      <w:pPr>
        <w:spacing w:after="40" w:before="0"/>
      </w:pPr>
      <w:r>
        <w:t xml:space="preserve"/>
      </w:r>
    </w:p>
    <w:p>
      <w:pPr>
        <w:pBdr>
          <w:bottom w:val="single" w:color="C9922A" w:sz="4" w:space="1"/>
        </w:pBdr>
        <w:spacing w:after="60" w:before="60"/>
      </w:pPr>
      <w:r>
        <w:t xml:space="preserve"/>
      </w:r>
    </w:p>
    <w:p>
      <w:pPr>
        <w:spacing w:after="20" w:before="0"/>
      </w:pPr>
      <w:r>
        <w:t xml:space="preserve"/>
      </w:r>
    </w:p>
    <w:p>
      <w:pPr>
        <w:jc w:val="center"/>
      </w:pPr>
      <w:r>
        <w:rPr>
          <w:rFonts w:ascii="Arial" w:cs="Arial" w:eastAsia="Arial" w:hAnsi="Arial"/>
          <w:i/>
          <w:iCs/>
          <w:color w:val="6B7280"/>
          <w:sz w:val="20"/>
          <w:szCs w:val="20"/>
        </w:rPr>
        <w:t xml:space="preserve">This document is proprietary intellectual property of DigiFusion Agency.</w:t>
      </w:r>
    </w:p>
    <w:p>
      <w:pPr>
        <w:jc w:val="center"/>
      </w:pPr>
      <w:r>
        <w:rPr>
          <w:rFonts w:ascii="Arial" w:cs="Arial" w:eastAsia="Arial" w:hAnsi="Arial"/>
          <w:i/>
          <w:iCs/>
          <w:color w:val="6B7280"/>
          <w:sz w:val="20"/>
          <w:szCs w:val="20"/>
        </w:rPr>
        <w:t xml:space="preserve">Unauthorised reproduction or distribution without written consent is prohibited.</w:t>
      </w:r>
    </w:p>
    <w:p>
      <w:pPr>
        <w:spacing w:after="20" w:before="0"/>
      </w:pPr>
      <w:r>
        <w:t xml:space="preserve"/>
      </w:r>
    </w:p>
    <w:p>
      <w:pPr>
        <w:jc w:val="center"/>
      </w:pPr>
      <w:r>
        <w:rPr>
          <w:rFonts w:ascii="Arial" w:cs="Arial" w:eastAsia="Arial" w:hAnsi="Arial"/>
          <w:b/>
          <w:bCs/>
          <w:color w:val="0D2137"/>
          <w:sz w:val="22"/>
          <w:szCs w:val="22"/>
        </w:rPr>
        <w:t xml:space="preserve">© 2026 DigiFusion. Content-to-Capital Pipeline™ — All Rights Reserved.</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pBdr>
      <w:tabs>
        <w:tab w:val="right" w:pos="9026"/>
      </w:tabs>
    </w:pPr>
    <w:r>
      <w:rPr>
        <w:rFonts w:ascii="Arial" w:cs="Arial" w:eastAsia="Arial" w:hAnsi="Arial"/>
        <w:color w:val="6B7280"/>
        <w:sz w:val="18"/>
        <w:szCs w:val="18"/>
      </w:rPr>
      <w:t xml:space="preserve">© 2026 DigiFusion. All rights reserved. Confidential.</w:t>
    </w:r>
    <w:r>
      <w:rPr>
        <w:rFonts w:ascii="Arial" w:cs="Arial" w:eastAsia="Arial" w:hAnsi="Arial"/>
        <w:color w:val="6B7280"/>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pBdr>
      <w:tabs>
        <w:tab w:val="right" w:pos="9026"/>
      </w:tabs>
    </w:pPr>
    <w:r>
      <w:rPr>
        <w:rFonts w:ascii="Arial" w:cs="Arial" w:eastAsia="Arial" w:hAnsi="Arial"/>
        <w:color w:val="6B7280"/>
        <w:sz w:val="18"/>
        <w:szCs w:val="18"/>
      </w:rPr>
      <w:t xml:space="preserve">© 2026 DigiFusion. All rights reserved. Confidential.</w:t>
    </w:r>
    <w:r>
      <w:rPr>
        <w:rFonts w:ascii="Arial" w:cs="Arial" w:eastAsia="Arial" w:hAnsi="Arial"/>
        <w:color w:val="6B7280"/>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pBdr>
      <w:tabs>
        <w:tab w:val="right" w:pos="9026"/>
      </w:tabs>
    </w:pPr>
    <w:r>
      <w:rPr>
        <w:rFonts w:ascii="Arial" w:cs="Arial" w:eastAsia="Arial" w:hAnsi="Arial"/>
        <w:color w:val="6B7280"/>
        <w:sz w:val="18"/>
        <w:szCs w:val="18"/>
      </w:rPr>
      <w:t xml:space="preserve">© 2026 DigiFusion. All rights reserved. Confidential.</w:t>
    </w:r>
    <w:r>
      <w:rPr>
        <w:rFonts w:ascii="Arial" w:cs="Arial" w:eastAsia="Arial" w:hAnsi="Arial"/>
        <w:color w:val="6B7280"/>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4"/>
      </w:pBdr>
      <w:tabs>
        <w:tab w:val="right" w:pos="9026"/>
      </w:tabs>
    </w:pPr>
    <w:r>
      <w:rPr>
        <w:rFonts w:ascii="Arial" w:cs="Arial" w:eastAsia="Arial" w:hAnsi="Arial"/>
        <w:b/>
        <w:bCs/>
        <w:color w:val="0D2137"/>
        <w:sz w:val="18"/>
        <w:szCs w:val="18"/>
      </w:rPr>
      <w:t xml:space="preserve">THE CONTENT-TO-CAPITAL PIPELINE</w:t>
    </w:r>
    <w:r>
      <w:rPr>
        <w:rFonts w:ascii="Arial" w:cs="Arial" w:eastAsia="Arial" w:hAnsi="Arial"/>
        <w:color w:val="6B7280"/>
        <w:sz w:val="18"/>
        <w:szCs w:val="18"/>
      </w:rPr>
      <w:t xml:space="preserve">	DigiFusion Agency  |  Proprietary IP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4"/>
      </w:pBdr>
      <w:tabs>
        <w:tab w:val="right" w:pos="9026"/>
      </w:tabs>
    </w:pPr>
    <w:r>
      <w:rPr>
        <w:rFonts w:ascii="Arial" w:cs="Arial" w:eastAsia="Arial" w:hAnsi="Arial"/>
        <w:b/>
        <w:bCs/>
        <w:color w:val="0D2137"/>
        <w:sz w:val="18"/>
        <w:szCs w:val="18"/>
      </w:rPr>
      <w:t xml:space="preserve">CONTENT MATURITY SCORECARD</w:t>
    </w:r>
    <w:r>
      <w:rPr>
        <w:rFonts w:ascii="Arial" w:cs="Arial" w:eastAsia="Arial" w:hAnsi="Arial"/>
        <w:color w:val="6B7280"/>
        <w:sz w:val="18"/>
        <w:szCs w:val="18"/>
      </w:rPr>
      <w:t xml:space="preserve">	DigiFusion Agency  |  Proprietary IP</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4"/>
      </w:pBdr>
      <w:tabs>
        <w:tab w:val="right" w:pos="9026"/>
      </w:tabs>
    </w:pPr>
    <w:r>
      <w:rPr>
        <w:rFonts w:ascii="Arial" w:cs="Arial" w:eastAsia="Arial" w:hAnsi="Arial"/>
        <w:b/>
        <w:bCs/>
        <w:color w:val="0D2137"/>
        <w:sz w:val="18"/>
        <w:szCs w:val="18"/>
      </w:rPr>
      <w:t xml:space="preserve">TEMPLATES &amp; TOOLS</w:t>
    </w:r>
    <w:r>
      <w:rPr>
        <w:rFonts w:ascii="Arial" w:cs="Arial" w:eastAsia="Arial" w:hAnsi="Arial"/>
        <w:color w:val="6B7280"/>
        <w:sz w:val="18"/>
        <w:szCs w:val="18"/>
      </w:rPr>
      <w:t xml:space="preserve">	DigiFusion Agency  |  Proprietary 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1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E7C8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2026-05-30T07:25:10.950Z</dcterms:created>
  <dcterms:modified xsi:type="dcterms:W3CDTF">2026-05-30T07:25:10.961Z</dcterms:modified>
</cp:coreProperties>
</file>

<file path=docProps/custom.xml><?xml version="1.0" encoding="utf-8"?>
<Properties xmlns="http://schemas.openxmlformats.org/officeDocument/2006/custom-properties" xmlns:vt="http://schemas.openxmlformats.org/officeDocument/2006/docPropsVTypes"/>
</file>