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00CC09">
      <w:pPr>
        <w:jc w:val="center"/>
        <w:outlineLvl w:val="0"/>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制度对话的三次迭代：</w:t>
      </w:r>
    </w:p>
    <w:p w14:paraId="56D58BF1">
      <w:pPr>
        <w:ind w:firstLine="300" w:firstLineChars="100"/>
        <w:jc w:val="center"/>
        <w:outlineLvl w:val="0"/>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粤港终身教育资历框架合作的案例研究</w:t>
      </w:r>
    </w:p>
    <w:p w14:paraId="0299DFA2">
      <w:pPr>
        <w:widowControl/>
        <w:jc w:val="center"/>
        <w:rPr>
          <w:rFonts w:hint="eastAsia" w:ascii="Calibri" w:hAnsi="Calibri" w:eastAsia="宋体" w:cs="Times New Roman"/>
          <w:sz w:val="24"/>
          <w:lang w:val="en-US" w:eastAsia="zh-CN"/>
        </w:rPr>
      </w:pPr>
    </w:p>
    <w:p w14:paraId="3AC9BF9F">
      <w:pPr>
        <w:widowControl/>
        <w:jc w:val="center"/>
        <w:rPr>
          <w:rFonts w:hint="eastAsia" w:ascii="Calibri" w:hAnsi="Calibri" w:eastAsia="宋体" w:cs="Times New Roman"/>
          <w:sz w:val="24"/>
          <w:lang w:val="en-US" w:eastAsia="zh-CN"/>
        </w:rPr>
      </w:pPr>
      <w:r>
        <w:rPr>
          <w:rFonts w:hint="eastAsia" w:ascii="Calibri" w:hAnsi="Calibri" w:eastAsia="宋体" w:cs="Times New Roman"/>
          <w:sz w:val="24"/>
          <w:lang w:val="en-US" w:eastAsia="zh-CN"/>
        </w:rPr>
        <w:t>赵斯羽</w:t>
      </w:r>
    </w:p>
    <w:p w14:paraId="725A0BA8">
      <w:pPr>
        <w:widowControl/>
        <w:jc w:val="center"/>
        <w:rPr>
          <w:rFonts w:hint="eastAsia" w:ascii="Calibri" w:hAnsi="Calibri" w:eastAsia="宋体" w:cs="Times New Roman"/>
          <w:sz w:val="24"/>
        </w:rPr>
      </w:pPr>
      <w:r>
        <w:rPr>
          <w:rFonts w:hint="eastAsia" w:ascii="Calibri" w:hAnsi="Calibri" w:eastAsia="宋体" w:cs="Times New Roman"/>
          <w:sz w:val="24"/>
        </w:rPr>
        <w:t>（广东开放大学，广东广州，510091）</w:t>
      </w:r>
    </w:p>
    <w:p w14:paraId="31F44F93">
      <w:pPr>
        <w:widowControl/>
        <w:jc w:val="center"/>
        <w:rPr>
          <w:rFonts w:hint="eastAsia" w:ascii="Calibri" w:hAnsi="Calibri" w:eastAsia="宋体" w:cs="Times New Roman"/>
          <w:sz w:val="24"/>
        </w:rPr>
      </w:pPr>
    </w:p>
    <w:p w14:paraId="136C707D">
      <w:pPr>
        <w:ind w:firstLine="482" w:firstLineChars="200"/>
        <w:jc w:val="both"/>
        <w:rPr>
          <w:rFonts w:hint="eastAsia" w:ascii="楷体" w:hAnsi="楷体" w:eastAsia="楷体" w:cstheme="majorBidi"/>
          <w:b w:val="0"/>
          <w:bCs w:val="0"/>
          <w:kern w:val="2"/>
          <w:sz w:val="24"/>
          <w:szCs w:val="24"/>
          <w:lang w:val="en-US" w:eastAsia="zh-CN" w:bidi="ar-SA"/>
        </w:rPr>
      </w:pPr>
      <w:r>
        <w:rPr>
          <w:rFonts w:hint="eastAsia" w:ascii="楷体" w:hAnsi="楷体" w:eastAsia="楷体" w:cstheme="majorBidi"/>
          <w:b/>
          <w:bCs/>
          <w:kern w:val="2"/>
          <w:sz w:val="24"/>
          <w:szCs w:val="24"/>
          <w:lang w:val="en-US" w:eastAsia="zh-CN" w:bidi="ar-SA"/>
        </w:rPr>
        <w:t>摘  要：</w:t>
      </w:r>
      <w:r>
        <w:rPr>
          <w:rFonts w:hint="eastAsia" w:ascii="楷体" w:hAnsi="楷体" w:eastAsia="楷体" w:cstheme="majorBidi"/>
          <w:b w:val="0"/>
          <w:bCs w:val="0"/>
          <w:kern w:val="2"/>
          <w:sz w:val="24"/>
          <w:szCs w:val="24"/>
          <w:lang w:val="en-US" w:eastAsia="zh-CN" w:bidi="ar-SA"/>
        </w:rPr>
        <w:t>粤港澳大</w:t>
      </w:r>
      <w:r>
        <w:rPr>
          <w:rFonts w:hint="eastAsia" w:ascii="楷体" w:hAnsi="楷体" w:eastAsia="楷体" w:cstheme="majorBidi"/>
          <w:b w:val="0"/>
          <w:bCs w:val="0"/>
          <w:kern w:val="2"/>
          <w:sz w:val="24"/>
          <w:szCs w:val="24"/>
          <w:highlight w:val="none"/>
          <w:lang w:val="en-US" w:eastAsia="zh-CN" w:bidi="ar-SA"/>
        </w:rPr>
        <w:t>湾区建设是新时代国家重要发展战略，教育规则衔接是推动区域教育深度融合的关键环节。粤港资历框架合作是以制度对话为驱动因素的协同治理实践，资历框架不仅是一种技术工具，也是一种制度原则。研究发现，在协同治理的视角下，粤港</w:t>
      </w:r>
      <w:r>
        <w:rPr>
          <w:rFonts w:hint="eastAsia" w:ascii="楷体" w:hAnsi="楷体" w:eastAsia="楷体" w:cstheme="majorBidi"/>
          <w:b w:val="0"/>
          <w:bCs w:val="0"/>
          <w:kern w:val="2"/>
          <w:sz w:val="24"/>
          <w:szCs w:val="24"/>
          <w:lang w:val="en-US" w:eastAsia="zh-CN" w:bidi="ar-SA"/>
        </w:rPr>
        <w:t>资历框架合作是由规则性参与、共识动机形成及协同能力建设三个协同要素互相促进，经过几轮迭代，最终实现了非意料的协同效果。通过资历框架的交流合作，粤港两地的教育机构进行了深度的互动，提升了协同能力，这项实践对于粤港澳大湾区教育与人才高地的打造具有重要意义。</w:t>
      </w:r>
    </w:p>
    <w:p w14:paraId="411CC910">
      <w:pPr>
        <w:widowControl/>
        <w:ind w:firstLine="482" w:firstLineChars="200"/>
        <w:jc w:val="left"/>
        <w:rPr>
          <w:rFonts w:hint="eastAsia" w:ascii="楷体" w:hAnsi="楷体" w:eastAsia="楷体" w:cs="Times New Roman"/>
          <w:b/>
          <w:bCs/>
          <w:sz w:val="24"/>
          <w:szCs w:val="24"/>
        </w:rPr>
      </w:pPr>
    </w:p>
    <w:p w14:paraId="0825F2E7">
      <w:pPr>
        <w:widowControl/>
        <w:ind w:firstLine="482" w:firstLineChars="200"/>
        <w:jc w:val="left"/>
        <w:rPr>
          <w:rFonts w:hint="eastAsia" w:ascii="楷体" w:hAnsi="楷体" w:eastAsia="楷体" w:cs="Times New Roman"/>
          <w:sz w:val="24"/>
          <w:szCs w:val="24"/>
        </w:rPr>
      </w:pPr>
      <w:r>
        <w:rPr>
          <w:rFonts w:hint="eastAsia" w:ascii="楷体" w:hAnsi="楷体" w:eastAsia="楷体" w:cs="Times New Roman"/>
          <w:b/>
          <w:bCs/>
          <w:sz w:val="24"/>
          <w:szCs w:val="24"/>
        </w:rPr>
        <w:t>关键词</w:t>
      </w:r>
      <w:r>
        <w:rPr>
          <w:rFonts w:hint="eastAsia" w:ascii="楷体" w:hAnsi="楷体" w:eastAsia="楷体" w:cs="Times New Roman"/>
          <w:sz w:val="24"/>
          <w:szCs w:val="24"/>
        </w:rPr>
        <w:t>：</w:t>
      </w:r>
      <w:r>
        <w:rPr>
          <w:rFonts w:hint="eastAsia" w:ascii="楷体" w:hAnsi="楷体" w:eastAsia="楷体" w:cs="Times New Roman"/>
          <w:sz w:val="24"/>
          <w:szCs w:val="24"/>
          <w:lang w:val="en-US" w:eastAsia="zh-CN"/>
        </w:rPr>
        <w:t>粤港澳大湾区；</w:t>
      </w:r>
      <w:r>
        <w:rPr>
          <w:rFonts w:hint="eastAsia" w:ascii="楷体" w:hAnsi="楷体" w:eastAsia="楷体" w:cs="Times New Roman"/>
          <w:sz w:val="24"/>
          <w:szCs w:val="24"/>
        </w:rPr>
        <w:t xml:space="preserve">资历框架；质量保障；终身教育 </w:t>
      </w:r>
    </w:p>
    <w:p w14:paraId="70223227">
      <w:pPr>
        <w:widowControl/>
        <w:ind w:firstLine="482" w:firstLineChars="200"/>
        <w:jc w:val="left"/>
        <w:rPr>
          <w:rFonts w:hint="default" w:ascii="楷体" w:hAnsi="楷体" w:eastAsia="楷体" w:cs="Times New Roman"/>
          <w:sz w:val="24"/>
          <w:szCs w:val="24"/>
          <w:lang w:val="en-US" w:eastAsia="zh-CN"/>
        </w:rPr>
      </w:pPr>
      <w:r>
        <w:rPr>
          <w:rFonts w:hint="eastAsia" w:ascii="楷体" w:hAnsi="楷体" w:eastAsia="楷体" w:cs="Times New Roman"/>
          <w:b/>
          <w:bCs/>
          <w:sz w:val="24"/>
          <w:szCs w:val="24"/>
          <w:lang w:val="en-US" w:eastAsia="zh-CN"/>
        </w:rPr>
        <w:t>基金项目</w:t>
      </w:r>
      <w:r>
        <w:rPr>
          <w:rFonts w:hint="eastAsia" w:ascii="楷体" w:hAnsi="楷体" w:eastAsia="楷体" w:cs="Times New Roman"/>
          <w:sz w:val="24"/>
          <w:szCs w:val="24"/>
          <w:lang w:val="en-US" w:eastAsia="zh-CN"/>
        </w:rPr>
        <w:t>：全国教育科学规划2023年国家一般课题“数字教育促进学习型社会与学习型大国建设研究”（课题批准号BKA230023)成果；2024年广东省教育科学规划课题（高等教育专项）资历框架视域下粤港澳大湾区高等职业教育质量保障体系的协同构建研究（项目编号：2024GXJK143）</w:t>
      </w:r>
    </w:p>
    <w:p w14:paraId="394155B4">
      <w:pPr>
        <w:widowControl/>
        <w:ind w:firstLine="482" w:firstLineChars="200"/>
        <w:jc w:val="left"/>
        <w:rPr>
          <w:rFonts w:hint="default" w:ascii="楷体" w:hAnsi="楷体" w:eastAsia="楷体" w:cs="Times New Roman"/>
          <w:sz w:val="24"/>
          <w:szCs w:val="24"/>
          <w:lang w:val="en-US" w:eastAsia="zh-CN"/>
        </w:rPr>
      </w:pPr>
      <w:r>
        <w:rPr>
          <w:rFonts w:hint="eastAsia" w:ascii="楷体" w:hAnsi="楷体" w:eastAsia="楷体" w:cs="Times New Roman"/>
          <w:b/>
          <w:bCs/>
          <w:sz w:val="24"/>
          <w:szCs w:val="24"/>
          <w:lang w:val="en-US" w:eastAsia="zh-CN"/>
        </w:rPr>
        <w:t>作者简介</w:t>
      </w:r>
      <w:r>
        <w:rPr>
          <w:rFonts w:hint="eastAsia" w:ascii="楷体" w:hAnsi="楷体" w:eastAsia="楷体" w:cs="Times New Roman"/>
          <w:sz w:val="24"/>
          <w:szCs w:val="24"/>
          <w:lang w:val="en-US" w:eastAsia="zh-CN"/>
        </w:rPr>
        <w:t>：赵斯羽，广东开放大学学分银行管理中心，助理研究员</w:t>
      </w:r>
    </w:p>
    <w:p w14:paraId="32E43B78">
      <w:pPr>
        <w:ind w:firstLine="413" w:firstLineChars="196"/>
        <w:rPr>
          <w:rFonts w:hint="eastAsia" w:ascii="宋体" w:hAnsi="宋体"/>
          <w:b/>
          <w:szCs w:val="21"/>
        </w:rPr>
      </w:pPr>
      <w:bookmarkStart w:id="0" w:name="_Hlk150957631"/>
      <w:r>
        <w:rPr>
          <w:rFonts w:hint="eastAsia" w:ascii="宋体" w:hAnsi="宋体"/>
          <w:b/>
          <w:szCs w:val="21"/>
        </w:rPr>
        <w:t>【中图分类号】</w:t>
      </w:r>
      <w:r>
        <w:rPr>
          <w:rFonts w:hint="eastAsia" w:ascii="宋体" w:hAnsi="宋体"/>
          <w:b/>
          <w:szCs w:val="21"/>
          <w:lang w:val="en-US" w:eastAsia="zh-CN"/>
        </w:rPr>
        <w:t>G710</w:t>
      </w:r>
      <w:r>
        <w:rPr>
          <w:rFonts w:ascii="宋体" w:hAnsi="宋体"/>
          <w:szCs w:val="21"/>
        </w:rPr>
        <w:t xml:space="preserve">  </w:t>
      </w:r>
      <w:r>
        <w:rPr>
          <w:rFonts w:hint="eastAsia" w:ascii="宋体" w:hAnsi="宋体"/>
          <w:b/>
          <w:szCs w:val="21"/>
        </w:rPr>
        <w:t>【文献标识码】</w:t>
      </w:r>
      <w:r>
        <w:rPr>
          <w:rFonts w:hint="eastAsia" w:ascii="宋体" w:hAnsi="宋体"/>
          <w:szCs w:val="21"/>
        </w:rPr>
        <w:t>A</w:t>
      </w:r>
      <w:r>
        <w:rPr>
          <w:rFonts w:hint="eastAsia" w:ascii="宋体" w:hAnsi="宋体"/>
          <w:b/>
          <w:szCs w:val="21"/>
        </w:rPr>
        <w:t xml:space="preserve">   【文章编号】</w:t>
      </w:r>
    </w:p>
    <w:p w14:paraId="04ABD0E4">
      <w:pPr>
        <w:ind w:firstLine="413" w:firstLineChars="196"/>
        <w:rPr>
          <w:rFonts w:hint="eastAsia" w:ascii="宋体" w:hAnsi="宋体"/>
          <w:b/>
          <w:szCs w:val="21"/>
        </w:rPr>
      </w:pPr>
    </w:p>
    <w:bookmarkEnd w:id="0"/>
    <w:p w14:paraId="4599E614">
      <w:pPr>
        <w:ind w:firstLine="420" w:firstLineChars="200"/>
        <w:rPr>
          <w:rFonts w:hint="default"/>
        </w:rPr>
      </w:pPr>
      <w:r>
        <w:rPr>
          <w:rFonts w:hint="default"/>
        </w:rPr>
        <w:t>《粤港澳大湾区发展规划纲要》实施</w:t>
      </w:r>
      <w:r>
        <w:rPr>
          <w:rFonts w:hint="eastAsia"/>
          <w:lang w:val="en-US" w:eastAsia="zh-CN"/>
        </w:rPr>
        <w:t>五年来</w:t>
      </w:r>
      <w:r>
        <w:rPr>
          <w:rFonts w:hint="default"/>
        </w:rPr>
        <w:t>，区域协同发展进入新阶段。然而</w:t>
      </w:r>
      <w:r>
        <w:rPr>
          <w:rFonts w:hint="eastAsia"/>
          <w:lang w:eastAsia="zh-CN"/>
        </w:rPr>
        <w:t>，</w:t>
      </w:r>
      <w:r>
        <w:rPr>
          <w:rFonts w:hint="default"/>
        </w:rPr>
        <w:t>与经济领域的深度开放相比</w:t>
      </w:r>
      <w:r>
        <w:rPr>
          <w:rFonts w:hint="eastAsia"/>
          <w:lang w:eastAsia="zh-CN"/>
        </w:rPr>
        <w:t>，</w:t>
      </w:r>
      <w:r>
        <w:rPr>
          <w:rFonts w:hint="default"/>
        </w:rPr>
        <w:t>教育等社会政策领域的</w:t>
      </w:r>
      <w:r>
        <w:rPr>
          <w:rFonts w:hint="eastAsia"/>
          <w:lang w:val="en-US" w:eastAsia="zh-CN"/>
        </w:rPr>
        <w:t>制度</w:t>
      </w:r>
      <w:r>
        <w:rPr>
          <w:rFonts w:hint="default"/>
        </w:rPr>
        <w:t>协同仍显不足</w:t>
      </w:r>
      <w:r>
        <w:rPr>
          <w:rFonts w:hint="eastAsia"/>
          <w:lang w:eastAsia="zh-CN"/>
        </w:rPr>
        <w:t>，</w:t>
      </w:r>
      <w:r>
        <w:rPr>
          <w:rFonts w:hint="default"/>
        </w:rPr>
        <w:t>难以满足跨境流动人员日益增长的现实需求。尤其是在教育资历互认、学习成果转换等方面</w:t>
      </w:r>
      <w:r>
        <w:rPr>
          <w:rFonts w:hint="eastAsia"/>
          <w:lang w:eastAsia="zh-CN"/>
        </w:rPr>
        <w:t>，</w:t>
      </w:r>
      <w:r>
        <w:rPr>
          <w:rFonts w:hint="default"/>
        </w:rPr>
        <w:t>由于制度差异和标准不一</w:t>
      </w:r>
      <w:r>
        <w:rPr>
          <w:rFonts w:hint="eastAsia"/>
          <w:lang w:eastAsia="zh-CN"/>
        </w:rPr>
        <w:t>，</w:t>
      </w:r>
      <w:r>
        <w:rPr>
          <w:rFonts w:hint="default"/>
        </w:rPr>
        <w:t>跨境教育合作面临诸多障碍。在此背景下</w:t>
      </w:r>
      <w:r>
        <w:rPr>
          <w:rFonts w:hint="eastAsia"/>
          <w:lang w:eastAsia="zh-CN"/>
        </w:rPr>
        <w:t>，</w:t>
      </w:r>
      <w:r>
        <w:rPr>
          <w:rFonts w:hint="default"/>
        </w:rPr>
        <w:t>资历框架作为一种对学历、职业资格、培训经历等进行全面涵盖的标准化工具</w:t>
      </w:r>
      <w:r>
        <w:rPr>
          <w:rFonts w:hint="eastAsia"/>
          <w:lang w:eastAsia="zh-CN"/>
        </w:rPr>
        <w:t>，</w:t>
      </w:r>
      <w:r>
        <w:rPr>
          <w:rFonts w:hint="default"/>
        </w:rPr>
        <w:t>展现出促进湾区规则衔接的独特优势。香港于2008年建立了香港资历架构</w:t>
      </w:r>
      <w:r>
        <w:rPr>
          <w:rFonts w:hint="eastAsia"/>
          <w:lang w:eastAsia="zh-CN"/>
        </w:rPr>
        <w:t>，</w:t>
      </w:r>
      <w:r>
        <w:rPr>
          <w:rFonts w:hint="default"/>
        </w:rPr>
        <w:t>广东省于2017年发布《广东终身教育资历框架等级标准》</w:t>
      </w:r>
      <w:r>
        <w:rPr>
          <w:rFonts w:hint="eastAsia"/>
          <w:lang w:eastAsia="zh-CN"/>
        </w:rPr>
        <w:t>，</w:t>
      </w:r>
      <w:r>
        <w:rPr>
          <w:rFonts w:hint="default"/>
        </w:rPr>
        <w:t>并于2019年与香港签订《粤港资历框架合作意向书》</w:t>
      </w:r>
      <w:r>
        <w:rPr>
          <w:rFonts w:hint="eastAsia"/>
          <w:lang w:eastAsia="zh-CN"/>
        </w:rPr>
        <w:t>，</w:t>
      </w:r>
      <w:r>
        <w:rPr>
          <w:rFonts w:hint="default"/>
        </w:rPr>
        <w:t>开启了包括框架</w:t>
      </w:r>
      <w:r>
        <w:rPr>
          <w:rFonts w:hint="eastAsia"/>
          <w:lang w:val="en-US" w:eastAsia="zh-CN"/>
        </w:rPr>
        <w:t>参照</w:t>
      </w:r>
      <w:r>
        <w:rPr>
          <w:rFonts w:hint="default"/>
        </w:rPr>
        <w:t>、质量保障评审等深度合作。这为研究粤港澳大湾区教育规则衔接提供了重要案例。</w:t>
      </w:r>
    </w:p>
    <w:p w14:paraId="652FD735">
      <w:pPr>
        <w:ind w:firstLine="420" w:firstLineChars="200"/>
        <w:rPr>
          <w:rFonts w:hint="default"/>
        </w:rPr>
      </w:pPr>
      <w:r>
        <w:rPr>
          <w:rFonts w:ascii="Segoe UI" w:hAnsi="Segoe UI" w:eastAsia="Segoe UI" w:cs="Segoe UI"/>
          <w:i w:val="0"/>
          <w:iCs w:val="0"/>
          <w:caps w:val="0"/>
          <w:spacing w:val="0"/>
          <w:sz w:val="21"/>
          <w:szCs w:val="21"/>
          <w:shd w:val="clear" w:fill="FFFFFF"/>
        </w:rPr>
        <w:t>目前，学术界对粤港澳大湾区教育合作进行了广泛探讨，研究范围涵盖</w:t>
      </w:r>
      <w:r>
        <w:rPr>
          <w:rFonts w:hint="eastAsia" w:ascii="Segoe UI" w:hAnsi="Segoe UI" w:eastAsia="宋体" w:cs="Segoe UI"/>
          <w:i w:val="0"/>
          <w:iCs w:val="0"/>
          <w:caps w:val="0"/>
          <w:spacing w:val="0"/>
          <w:sz w:val="21"/>
          <w:szCs w:val="21"/>
          <w:shd w:val="clear" w:fill="FFFFFF"/>
          <w:lang w:val="en-US" w:eastAsia="zh-CN"/>
        </w:rPr>
        <w:t>基础教育、高等教育、职业教育、继续教育等</w:t>
      </w:r>
      <w:r>
        <w:rPr>
          <w:rFonts w:ascii="Segoe UI" w:hAnsi="Segoe UI" w:eastAsia="Segoe UI" w:cs="Segoe UI"/>
          <w:i w:val="0"/>
          <w:iCs w:val="0"/>
          <w:caps w:val="0"/>
          <w:spacing w:val="0"/>
          <w:sz w:val="21"/>
          <w:szCs w:val="21"/>
          <w:shd w:val="clear" w:fill="FFFFFF"/>
        </w:rPr>
        <w:t>各类教育形式，研究视角涉及</w:t>
      </w:r>
      <w:r>
        <w:rPr>
          <w:rFonts w:hint="eastAsia" w:ascii="Segoe UI" w:hAnsi="Segoe UI" w:eastAsia="宋体" w:cs="Segoe UI"/>
          <w:i w:val="0"/>
          <w:iCs w:val="0"/>
          <w:caps w:val="0"/>
          <w:spacing w:val="0"/>
          <w:sz w:val="21"/>
          <w:szCs w:val="21"/>
          <w:shd w:val="clear" w:fill="FFFFFF"/>
          <w:lang w:val="en-US" w:eastAsia="zh-CN"/>
        </w:rPr>
        <w:t>区域教育一体化、人口流动、协同治理</w:t>
      </w:r>
      <w:r>
        <w:rPr>
          <w:rFonts w:ascii="Segoe UI" w:hAnsi="Segoe UI" w:eastAsia="Segoe UI" w:cs="Segoe UI"/>
          <w:i w:val="0"/>
          <w:iCs w:val="0"/>
          <w:caps w:val="0"/>
          <w:spacing w:val="0"/>
          <w:sz w:val="21"/>
          <w:szCs w:val="21"/>
          <w:shd w:val="clear" w:fill="FFFFFF"/>
        </w:rPr>
        <w:t>多种理论，对合作</w:t>
      </w:r>
      <w:r>
        <w:rPr>
          <w:rFonts w:hint="eastAsia" w:ascii="Segoe UI" w:hAnsi="Segoe UI" w:eastAsia="宋体" w:cs="Segoe UI"/>
          <w:i w:val="0"/>
          <w:iCs w:val="0"/>
          <w:caps w:val="0"/>
          <w:spacing w:val="0"/>
          <w:sz w:val="21"/>
          <w:szCs w:val="21"/>
          <w:shd w:val="clear" w:fill="FFFFFF"/>
          <w:lang w:eastAsia="zh-CN"/>
        </w:rPr>
        <w:t>的</w:t>
      </w:r>
      <w:r>
        <w:rPr>
          <w:rFonts w:hint="eastAsia" w:ascii="Segoe UI" w:hAnsi="Segoe UI" w:eastAsia="宋体" w:cs="Segoe UI"/>
          <w:i w:val="0"/>
          <w:iCs w:val="0"/>
          <w:caps w:val="0"/>
          <w:spacing w:val="0"/>
          <w:sz w:val="21"/>
          <w:szCs w:val="21"/>
          <w:shd w:val="clear" w:fill="FFFFFF"/>
          <w:lang w:val="en-US" w:eastAsia="zh-CN"/>
        </w:rPr>
        <w:t>基础、障碍、历程等</w:t>
      </w:r>
      <w:r>
        <w:rPr>
          <w:rFonts w:ascii="Segoe UI" w:hAnsi="Segoe UI" w:eastAsia="Segoe UI" w:cs="Segoe UI"/>
          <w:i w:val="0"/>
          <w:iCs w:val="0"/>
          <w:caps w:val="0"/>
          <w:spacing w:val="0"/>
          <w:sz w:val="21"/>
          <w:szCs w:val="21"/>
          <w:shd w:val="clear" w:fill="FFFFFF"/>
        </w:rPr>
        <w:t>具体问题也多有探讨。然而，已有研究仍存在</w:t>
      </w:r>
      <w:r>
        <w:rPr>
          <w:rFonts w:hint="eastAsia" w:ascii="Segoe UI" w:hAnsi="Segoe UI" w:eastAsia="宋体" w:cs="Segoe UI"/>
          <w:i w:val="0"/>
          <w:iCs w:val="0"/>
          <w:caps w:val="0"/>
          <w:spacing w:val="0"/>
          <w:sz w:val="21"/>
          <w:szCs w:val="21"/>
          <w:shd w:val="clear" w:fill="FFFFFF"/>
          <w:lang w:val="en-US" w:eastAsia="zh-CN"/>
        </w:rPr>
        <w:t>一些空白</w:t>
      </w:r>
      <w:r>
        <w:rPr>
          <w:rFonts w:ascii="Segoe UI" w:hAnsi="Segoe UI" w:eastAsia="Segoe UI" w:cs="Segoe UI"/>
          <w:i w:val="0"/>
          <w:iCs w:val="0"/>
          <w:caps w:val="0"/>
          <w:spacing w:val="0"/>
          <w:sz w:val="21"/>
          <w:szCs w:val="21"/>
          <w:shd w:val="clear" w:fill="FFFFFF"/>
        </w:rPr>
        <w:t>：一是研究方法以政策文本分析为主，</w:t>
      </w:r>
      <w:r>
        <w:rPr>
          <w:rFonts w:hint="eastAsia" w:ascii="Segoe UI" w:hAnsi="Segoe UI" w:eastAsia="宋体" w:cs="Segoe UI"/>
          <w:i w:val="0"/>
          <w:iCs w:val="0"/>
          <w:caps w:val="0"/>
          <w:spacing w:val="0"/>
          <w:sz w:val="21"/>
          <w:szCs w:val="21"/>
          <w:shd w:val="clear" w:fill="FFFFFF"/>
          <w:lang w:val="en-US" w:eastAsia="zh-CN"/>
        </w:rPr>
        <w:t>相对</w:t>
      </w:r>
      <w:r>
        <w:rPr>
          <w:rFonts w:ascii="Segoe UI" w:hAnsi="Segoe UI" w:eastAsia="Segoe UI" w:cs="Segoe UI"/>
          <w:i w:val="0"/>
          <w:iCs w:val="0"/>
          <w:caps w:val="0"/>
          <w:spacing w:val="0"/>
          <w:sz w:val="21"/>
          <w:szCs w:val="21"/>
          <w:shd w:val="clear" w:fill="FFFFFF"/>
        </w:rPr>
        <w:t>缺乏</w:t>
      </w:r>
      <w:r>
        <w:rPr>
          <w:rFonts w:hint="eastAsia" w:ascii="Segoe UI" w:hAnsi="Segoe UI" w:eastAsia="宋体" w:cs="Segoe UI"/>
          <w:i w:val="0"/>
          <w:iCs w:val="0"/>
          <w:caps w:val="0"/>
          <w:spacing w:val="0"/>
          <w:sz w:val="21"/>
          <w:szCs w:val="21"/>
          <w:shd w:val="clear" w:fill="FFFFFF"/>
          <w:lang w:val="en-US" w:eastAsia="zh-CN"/>
        </w:rPr>
        <w:t>具体的</w:t>
      </w:r>
      <w:r>
        <w:rPr>
          <w:rFonts w:ascii="Segoe UI" w:hAnsi="Segoe UI" w:eastAsia="Segoe UI" w:cs="Segoe UI"/>
          <w:i w:val="0"/>
          <w:iCs w:val="0"/>
          <w:caps w:val="0"/>
          <w:spacing w:val="0"/>
          <w:sz w:val="21"/>
          <w:szCs w:val="21"/>
          <w:shd w:val="clear" w:fill="FFFFFF"/>
        </w:rPr>
        <w:t>案例</w:t>
      </w:r>
      <w:r>
        <w:rPr>
          <w:rFonts w:hint="eastAsia" w:ascii="Segoe UI" w:hAnsi="Segoe UI" w:eastAsia="宋体" w:cs="Segoe UI"/>
          <w:i w:val="0"/>
          <w:iCs w:val="0"/>
          <w:caps w:val="0"/>
          <w:spacing w:val="0"/>
          <w:sz w:val="21"/>
          <w:szCs w:val="21"/>
          <w:shd w:val="clear" w:fill="FFFFFF"/>
          <w:lang w:val="en-US" w:eastAsia="zh-CN"/>
        </w:rPr>
        <w:t>研究</w:t>
      </w:r>
      <w:r>
        <w:rPr>
          <w:rFonts w:ascii="Segoe UI" w:hAnsi="Segoe UI" w:eastAsia="Segoe UI" w:cs="Segoe UI"/>
          <w:i w:val="0"/>
          <w:iCs w:val="0"/>
          <w:caps w:val="0"/>
          <w:spacing w:val="0"/>
          <w:sz w:val="21"/>
          <w:szCs w:val="21"/>
          <w:shd w:val="clear" w:fill="FFFFFF"/>
        </w:rPr>
        <w:t>；二是研究视角往往局限于应对具体需求或宏观规划构想，较少从社会政策的系统性视角展开实践研究</w:t>
      </w:r>
      <w:r>
        <w:rPr>
          <w:rFonts w:hint="default"/>
        </w:rPr>
        <w:t>。本文以粤港资历框架合作为研究对象</w:t>
      </w:r>
      <w:r>
        <w:rPr>
          <w:rFonts w:hint="eastAsia"/>
          <w:lang w:eastAsia="zh-CN"/>
        </w:rPr>
        <w:t>，</w:t>
      </w:r>
      <w:r>
        <w:rPr>
          <w:rFonts w:hint="default"/>
        </w:rPr>
        <w:t>运用协同治理</w:t>
      </w:r>
      <w:r>
        <w:rPr>
          <w:rFonts w:hint="eastAsia"/>
          <w:lang w:eastAsia="zh-CN"/>
        </w:rPr>
        <w:t>的</w:t>
      </w:r>
      <w:r>
        <w:rPr>
          <w:rFonts w:hint="default"/>
        </w:rPr>
        <w:t>理论视角</w:t>
      </w:r>
      <w:r>
        <w:rPr>
          <w:rFonts w:hint="eastAsia"/>
          <w:lang w:eastAsia="zh-CN"/>
        </w:rPr>
        <w:t>，</w:t>
      </w:r>
      <w:r>
        <w:rPr>
          <w:rFonts w:hint="default"/>
        </w:rPr>
        <w:t>通过案例分析方法</w:t>
      </w:r>
      <w:r>
        <w:rPr>
          <w:rFonts w:hint="eastAsia"/>
          <w:lang w:eastAsia="zh-CN"/>
        </w:rPr>
        <w:t>，</w:t>
      </w:r>
      <w:r>
        <w:rPr>
          <w:rFonts w:hint="default"/>
        </w:rPr>
        <w:t>系统考察粤港终身教育资历框架规则衔接的目标设定、实施路径和实际效果</w:t>
      </w:r>
      <w:r>
        <w:rPr>
          <w:rFonts w:hint="eastAsia"/>
          <w:lang w:eastAsia="zh-CN"/>
        </w:rPr>
        <w:t>，</w:t>
      </w:r>
      <w:r>
        <w:rPr>
          <w:rFonts w:hint="eastAsia"/>
          <w:lang w:val="en-US" w:eastAsia="zh-CN"/>
        </w:rPr>
        <w:t>试图回答一个问题，粤港资历框架的对接产生何种实际的效果，又是如何产生的</w:t>
      </w:r>
      <w:r>
        <w:rPr>
          <w:rFonts w:hint="default"/>
        </w:rPr>
        <w:t>。</w:t>
      </w:r>
      <w:r>
        <w:rPr>
          <w:rFonts w:hint="eastAsia"/>
          <w:lang w:val="en-US" w:eastAsia="zh-CN"/>
        </w:rPr>
        <w:t>文章</w:t>
      </w:r>
      <w:r>
        <w:rPr>
          <w:rFonts w:ascii="Segoe UI" w:hAnsi="Segoe UI" w:eastAsia="Segoe UI" w:cs="Segoe UI"/>
          <w:i w:val="0"/>
          <w:iCs w:val="0"/>
          <w:caps w:val="0"/>
          <w:spacing w:val="0"/>
          <w:sz w:val="21"/>
          <w:szCs w:val="21"/>
          <w:shd w:val="clear" w:fill="FFFFFF"/>
        </w:rPr>
        <w:t>在梳理资历框架</w:t>
      </w:r>
      <w:r>
        <w:rPr>
          <w:rFonts w:hint="eastAsia" w:ascii="Segoe UI" w:hAnsi="Segoe UI" w:eastAsia="宋体" w:cs="Segoe UI"/>
          <w:i w:val="0"/>
          <w:iCs w:val="0"/>
          <w:caps w:val="0"/>
          <w:spacing w:val="0"/>
          <w:sz w:val="21"/>
          <w:szCs w:val="21"/>
          <w:shd w:val="clear" w:fill="FFFFFF"/>
          <w:lang w:val="en-US" w:eastAsia="zh-CN"/>
        </w:rPr>
        <w:t>对接的研究与实践的基础上，立足粤港澳大湾区</w:t>
      </w:r>
      <w:r>
        <w:rPr>
          <w:rFonts w:ascii="Segoe UI" w:hAnsi="Segoe UI" w:eastAsia="Segoe UI" w:cs="Segoe UI"/>
          <w:i w:val="0"/>
          <w:iCs w:val="0"/>
          <w:caps w:val="0"/>
          <w:spacing w:val="0"/>
          <w:sz w:val="21"/>
          <w:szCs w:val="21"/>
          <w:shd w:val="clear" w:fill="FFFFFF"/>
        </w:rPr>
        <w:t>规则衔接的</w:t>
      </w:r>
      <w:r>
        <w:rPr>
          <w:rFonts w:hint="eastAsia" w:ascii="Segoe UI" w:hAnsi="Segoe UI" w:eastAsia="宋体" w:cs="Segoe UI"/>
          <w:i w:val="0"/>
          <w:iCs w:val="0"/>
          <w:caps w:val="0"/>
          <w:spacing w:val="0"/>
          <w:sz w:val="21"/>
          <w:szCs w:val="21"/>
          <w:shd w:val="clear" w:fill="FFFFFF"/>
          <w:lang w:val="en-US" w:eastAsia="zh-CN"/>
        </w:rPr>
        <w:t>概念和实践</w:t>
      </w:r>
      <w:r>
        <w:rPr>
          <w:rFonts w:ascii="Segoe UI" w:hAnsi="Segoe UI" w:eastAsia="Segoe UI" w:cs="Segoe UI"/>
          <w:i w:val="0"/>
          <w:iCs w:val="0"/>
          <w:caps w:val="0"/>
          <w:spacing w:val="0"/>
          <w:sz w:val="21"/>
          <w:szCs w:val="21"/>
          <w:shd w:val="clear" w:fill="FFFFFF"/>
        </w:rPr>
        <w:t>，提出基于协同治理的分析框架，对粤港终身教育资历框架的合作实践进行系统分析，探讨其演进历程</w:t>
      </w:r>
      <w:r>
        <w:rPr>
          <w:rFonts w:hint="eastAsia" w:ascii="Segoe UI" w:hAnsi="Segoe UI" w:eastAsia="宋体" w:cs="Segoe UI"/>
          <w:i w:val="0"/>
          <w:iCs w:val="0"/>
          <w:caps w:val="0"/>
          <w:spacing w:val="0"/>
          <w:sz w:val="21"/>
          <w:szCs w:val="21"/>
          <w:shd w:val="clear" w:fill="FFFFFF"/>
          <w:lang w:eastAsia="zh-CN"/>
        </w:rPr>
        <w:t>、</w:t>
      </w:r>
      <w:r>
        <w:rPr>
          <w:rFonts w:hint="eastAsia" w:ascii="Segoe UI" w:hAnsi="Segoe UI" w:eastAsia="宋体" w:cs="Segoe UI"/>
          <w:i w:val="0"/>
          <w:iCs w:val="0"/>
          <w:caps w:val="0"/>
          <w:spacing w:val="0"/>
          <w:sz w:val="21"/>
          <w:szCs w:val="21"/>
          <w:shd w:val="clear" w:fill="FFFFFF"/>
          <w:lang w:val="en-US" w:eastAsia="zh-CN"/>
        </w:rPr>
        <w:t>效果和</w:t>
      </w:r>
      <w:r>
        <w:rPr>
          <w:rFonts w:ascii="Segoe UI" w:hAnsi="Segoe UI" w:eastAsia="Segoe UI" w:cs="Segoe UI"/>
          <w:i w:val="0"/>
          <w:iCs w:val="0"/>
          <w:caps w:val="0"/>
          <w:spacing w:val="0"/>
          <w:sz w:val="21"/>
          <w:szCs w:val="21"/>
          <w:shd w:val="clear" w:fill="FFFFFF"/>
        </w:rPr>
        <w:t>实施机制，</w:t>
      </w:r>
      <w:r>
        <w:rPr>
          <w:rFonts w:hint="eastAsia" w:ascii="Segoe UI" w:hAnsi="Segoe UI" w:eastAsia="宋体" w:cs="Segoe UI"/>
          <w:i w:val="0"/>
          <w:iCs w:val="0"/>
          <w:caps w:val="0"/>
          <w:spacing w:val="0"/>
          <w:sz w:val="21"/>
          <w:szCs w:val="21"/>
          <w:shd w:val="clear" w:fill="FFFFFF"/>
          <w:lang w:val="en-US" w:eastAsia="zh-CN"/>
        </w:rPr>
        <w:t>希望</w:t>
      </w:r>
      <w:r>
        <w:rPr>
          <w:rFonts w:ascii="Segoe UI" w:hAnsi="Segoe UI" w:eastAsia="Segoe UI" w:cs="Segoe UI"/>
          <w:i w:val="0"/>
          <w:iCs w:val="0"/>
          <w:caps w:val="0"/>
          <w:spacing w:val="0"/>
          <w:sz w:val="21"/>
          <w:szCs w:val="21"/>
          <w:shd w:val="clear" w:fill="FFFFFF"/>
        </w:rPr>
        <w:t>为湾区教育规则衔接提供政策建议。</w:t>
      </w:r>
    </w:p>
    <w:p w14:paraId="3C42F510">
      <w:pPr>
        <w:keepNext w:val="0"/>
        <w:keepLines w:val="0"/>
        <w:pageBreakBefore w:val="0"/>
        <w:widowControl w:val="0"/>
        <w:numPr>
          <w:ilvl w:val="0"/>
          <w:numId w:val="1"/>
        </w:numPr>
        <w:kinsoku/>
        <w:wordWrap/>
        <w:overflowPunct/>
        <w:topLinePunct w:val="0"/>
        <w:autoSpaceDE/>
        <w:autoSpaceDN/>
        <w:bidi w:val="0"/>
        <w:adjustRightInd/>
        <w:snapToGrid/>
        <w:ind w:left="-2" w:leftChars="0" w:firstLine="422" w:firstLineChars="0"/>
        <w:jc w:val="both"/>
        <w:textAlignment w:val="auto"/>
        <w:outlineLvl w:val="0"/>
        <w:rPr>
          <w:rFonts w:hint="default"/>
          <w:b/>
          <w:bCs/>
          <w:sz w:val="21"/>
          <w:szCs w:val="21"/>
          <w:lang w:val="en-US" w:eastAsia="zh-CN"/>
        </w:rPr>
      </w:pPr>
      <w:r>
        <w:rPr>
          <w:rFonts w:hint="eastAsia"/>
          <w:b/>
          <w:bCs/>
          <w:sz w:val="21"/>
          <w:szCs w:val="21"/>
          <w:lang w:val="en-US" w:eastAsia="zh-CN"/>
        </w:rPr>
        <w:t>文献综述与分析框架</w:t>
      </w:r>
    </w:p>
    <w:p w14:paraId="03362EC4">
      <w:pPr>
        <w:keepNext w:val="0"/>
        <w:keepLines w:val="0"/>
        <w:pageBreakBefore w:val="0"/>
        <w:widowControl/>
        <w:kinsoku/>
        <w:wordWrap/>
        <w:overflowPunct/>
        <w:topLinePunct w:val="0"/>
        <w:autoSpaceDE/>
        <w:autoSpaceDN/>
        <w:bidi w:val="0"/>
        <w:adjustRightInd/>
        <w:snapToGrid/>
        <w:ind w:firstLine="422" w:firstLineChars="200"/>
        <w:jc w:val="left"/>
        <w:textAlignment w:val="auto"/>
        <w:outlineLvl w:val="1"/>
        <w:rPr>
          <w:rFonts w:hint="eastAsia"/>
          <w:b w:val="0"/>
          <w:bCs w:val="0"/>
          <w:sz w:val="21"/>
          <w:szCs w:val="21"/>
          <w:lang w:val="en-US" w:eastAsia="zh-CN"/>
        </w:rPr>
      </w:pPr>
      <w:r>
        <w:rPr>
          <w:rFonts w:hint="eastAsia"/>
          <w:b/>
          <w:bCs/>
          <w:sz w:val="21"/>
          <w:szCs w:val="21"/>
          <w:lang w:val="en-US" w:eastAsia="zh-CN"/>
        </w:rPr>
        <w:t>（一）文献综述</w:t>
      </w:r>
    </w:p>
    <w:p w14:paraId="2EBC329B">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b w:val="0"/>
          <w:bCs w:val="0"/>
          <w:sz w:val="21"/>
          <w:szCs w:val="21"/>
          <w:highlight w:val="none"/>
          <w:lang w:val="en-US" w:eastAsia="zh-CN"/>
        </w:rPr>
      </w:pPr>
      <w:r>
        <w:rPr>
          <w:rFonts w:hint="eastAsia"/>
          <w:b w:val="0"/>
          <w:bCs w:val="0"/>
          <w:sz w:val="21"/>
          <w:szCs w:val="21"/>
          <w:highlight w:val="none"/>
          <w:lang w:val="en-US" w:eastAsia="zh-CN"/>
        </w:rPr>
        <w:t>资历框架作为一种对学历、职业资格和培训经历等进行全面涵盖的标准化分类工具，自20世纪80、90年代以来在全球范围内得到广泛应用</w:t>
      </w:r>
      <w:r>
        <w:rPr>
          <w:rStyle w:val="10"/>
          <w:rFonts w:hint="eastAsia"/>
          <w:b w:val="0"/>
          <w:bCs w:val="0"/>
          <w:sz w:val="21"/>
          <w:szCs w:val="21"/>
          <w:highlight w:val="none"/>
          <w:lang w:val="en-US" w:eastAsia="zh-CN"/>
        </w:rPr>
        <w:t>[</w:t>
      </w:r>
      <w:r>
        <w:rPr>
          <w:rStyle w:val="10"/>
          <w:rFonts w:hint="eastAsia"/>
          <w:b w:val="0"/>
          <w:bCs w:val="0"/>
          <w:sz w:val="21"/>
          <w:szCs w:val="21"/>
          <w:highlight w:val="none"/>
          <w:lang w:val="en-US" w:eastAsia="zh-CN"/>
        </w:rPr>
        <w:endnoteReference w:id="0"/>
      </w:r>
      <w:r>
        <w:rPr>
          <w:rStyle w:val="10"/>
          <w:rFonts w:hint="eastAsia"/>
          <w:b w:val="0"/>
          <w:bCs w:val="0"/>
          <w:sz w:val="21"/>
          <w:szCs w:val="21"/>
          <w:highlight w:val="none"/>
          <w:lang w:val="en-US" w:eastAsia="zh-CN"/>
        </w:rPr>
        <w:t>][</w:t>
      </w:r>
      <w:r>
        <w:rPr>
          <w:rStyle w:val="10"/>
          <w:rFonts w:hint="eastAsia"/>
          <w:b w:val="0"/>
          <w:bCs w:val="0"/>
          <w:sz w:val="21"/>
          <w:szCs w:val="21"/>
          <w:highlight w:val="none"/>
          <w:lang w:val="en-US" w:eastAsia="zh-CN"/>
        </w:rPr>
        <w:endnoteReference w:id="1"/>
      </w:r>
      <w:r>
        <w:rPr>
          <w:rStyle w:val="10"/>
          <w:rFonts w:hint="eastAsia"/>
          <w:b w:val="0"/>
          <w:bCs w:val="0"/>
          <w:sz w:val="21"/>
          <w:szCs w:val="21"/>
          <w:highlight w:val="none"/>
          <w:lang w:val="en-US" w:eastAsia="zh-CN"/>
        </w:rPr>
        <w:t>]</w:t>
      </w:r>
      <w:r>
        <w:rPr>
          <w:rFonts w:hint="eastAsia"/>
          <w:b w:val="0"/>
          <w:bCs w:val="0"/>
          <w:sz w:val="21"/>
          <w:szCs w:val="21"/>
          <w:highlight w:val="none"/>
          <w:lang w:val="en-US" w:eastAsia="zh-CN"/>
        </w:rPr>
        <w:t>。目前全球已有161个国家建立了国家资历框架，有欧洲、东盟等7个区域资历框架，还有苏格兰、香港等地区资历框架。</w:t>
      </w:r>
      <w:r>
        <w:rPr>
          <w:rStyle w:val="10"/>
          <w:rFonts w:hint="eastAsia"/>
          <w:b w:val="0"/>
          <w:bCs w:val="0"/>
          <w:sz w:val="21"/>
          <w:szCs w:val="21"/>
          <w:highlight w:val="none"/>
          <w:lang w:val="en-US" w:eastAsia="zh-CN"/>
        </w:rPr>
        <w:t>[</w:t>
      </w:r>
      <w:r>
        <w:rPr>
          <w:rStyle w:val="10"/>
          <w:rFonts w:hint="eastAsia"/>
          <w:b w:val="0"/>
          <w:bCs w:val="0"/>
          <w:sz w:val="21"/>
          <w:szCs w:val="21"/>
          <w:highlight w:val="none"/>
          <w:lang w:val="en-US" w:eastAsia="zh-CN"/>
        </w:rPr>
        <w:endnoteReference w:id="2"/>
      </w:r>
      <w:r>
        <w:rPr>
          <w:rStyle w:val="10"/>
          <w:rFonts w:hint="eastAsia"/>
          <w:b w:val="0"/>
          <w:bCs w:val="0"/>
          <w:sz w:val="21"/>
          <w:szCs w:val="21"/>
          <w:highlight w:val="none"/>
          <w:lang w:val="en-US" w:eastAsia="zh-CN"/>
        </w:rPr>
        <w:t>]</w:t>
      </w:r>
      <w:r>
        <w:rPr>
          <w:rFonts w:hint="eastAsia"/>
          <w:b w:val="0"/>
          <w:bCs w:val="0"/>
          <w:sz w:val="21"/>
          <w:szCs w:val="21"/>
          <w:highlight w:val="none"/>
          <w:lang w:val="en-US" w:eastAsia="zh-CN"/>
        </w:rPr>
        <w:t xml:space="preserve"> 它通过建立统一的等级标准和质量保障机制，将不同类型、不同层次的学习成果纳入统一框架，以提高教育资历的透明度和可比性</w:t>
      </w:r>
      <w:r>
        <w:rPr>
          <w:rStyle w:val="10"/>
          <w:rFonts w:hint="eastAsia"/>
          <w:b w:val="0"/>
          <w:bCs w:val="0"/>
          <w:sz w:val="21"/>
          <w:szCs w:val="21"/>
          <w:highlight w:val="none"/>
          <w:lang w:val="en-US" w:eastAsia="zh-CN"/>
        </w:rPr>
        <w:t>[</w:t>
      </w:r>
      <w:r>
        <w:rPr>
          <w:rStyle w:val="10"/>
          <w:rFonts w:hint="eastAsia"/>
          <w:b w:val="0"/>
          <w:bCs w:val="0"/>
          <w:sz w:val="21"/>
          <w:szCs w:val="21"/>
          <w:highlight w:val="none"/>
          <w:lang w:val="en-US" w:eastAsia="zh-CN"/>
        </w:rPr>
        <w:endnoteReference w:id="3"/>
      </w:r>
      <w:r>
        <w:rPr>
          <w:rStyle w:val="10"/>
          <w:rFonts w:hint="eastAsia"/>
          <w:b w:val="0"/>
          <w:bCs w:val="0"/>
          <w:sz w:val="21"/>
          <w:szCs w:val="21"/>
          <w:highlight w:val="none"/>
          <w:lang w:val="en-US" w:eastAsia="zh-CN"/>
        </w:rPr>
        <w:t>]</w:t>
      </w:r>
      <w:r>
        <w:rPr>
          <w:rFonts w:hint="eastAsia"/>
          <w:b w:val="0"/>
          <w:bCs w:val="0"/>
          <w:sz w:val="21"/>
          <w:szCs w:val="21"/>
          <w:highlight w:val="none"/>
          <w:lang w:val="en-US" w:eastAsia="zh-CN"/>
        </w:rPr>
        <w:t>。资历框架的这种沟通属性使得它不仅可以促进沟通教育领域与劳动力市场的双向流动，还成为跨境教育的重要评价工具。随着区域教育合作的深入，逐步发展为促进跨境教育衔接的制度平台。</w:t>
      </w:r>
      <w:r>
        <w:rPr>
          <w:rStyle w:val="10"/>
          <w:rFonts w:hint="eastAsia"/>
          <w:b w:val="0"/>
          <w:bCs w:val="0"/>
          <w:sz w:val="21"/>
          <w:szCs w:val="21"/>
          <w:highlight w:val="none"/>
          <w:lang w:val="en-US" w:eastAsia="zh-CN"/>
        </w:rPr>
        <w:t>[</w:t>
      </w:r>
      <w:r>
        <w:rPr>
          <w:rStyle w:val="10"/>
          <w:rFonts w:hint="eastAsia"/>
          <w:b w:val="0"/>
          <w:bCs w:val="0"/>
          <w:sz w:val="21"/>
          <w:szCs w:val="21"/>
          <w:highlight w:val="none"/>
          <w:lang w:val="en-US" w:eastAsia="zh-CN"/>
        </w:rPr>
        <w:endnoteReference w:id="4"/>
      </w:r>
      <w:r>
        <w:rPr>
          <w:rStyle w:val="10"/>
          <w:rFonts w:hint="eastAsia"/>
          <w:b w:val="0"/>
          <w:bCs w:val="0"/>
          <w:sz w:val="21"/>
          <w:szCs w:val="21"/>
          <w:highlight w:val="none"/>
          <w:lang w:val="en-US" w:eastAsia="zh-CN"/>
        </w:rPr>
        <w:t>][</w:t>
      </w:r>
      <w:r>
        <w:rPr>
          <w:rStyle w:val="10"/>
          <w:rFonts w:hint="eastAsia"/>
          <w:b w:val="0"/>
          <w:bCs w:val="0"/>
          <w:sz w:val="21"/>
          <w:szCs w:val="21"/>
          <w:highlight w:val="none"/>
          <w:lang w:val="en-US" w:eastAsia="zh-CN"/>
        </w:rPr>
        <w:endnoteReference w:id="5"/>
      </w:r>
      <w:r>
        <w:rPr>
          <w:rStyle w:val="10"/>
          <w:rFonts w:hint="eastAsia"/>
          <w:b w:val="0"/>
          <w:bCs w:val="0"/>
          <w:sz w:val="21"/>
          <w:szCs w:val="21"/>
          <w:highlight w:val="none"/>
          <w:lang w:val="en-US" w:eastAsia="zh-CN"/>
        </w:rPr>
        <w:t>[</w:t>
      </w:r>
      <w:r>
        <w:rPr>
          <w:rStyle w:val="10"/>
          <w:rFonts w:hint="eastAsia"/>
          <w:b w:val="0"/>
          <w:bCs w:val="0"/>
          <w:sz w:val="21"/>
          <w:szCs w:val="21"/>
          <w:highlight w:val="none"/>
          <w:lang w:val="en-US" w:eastAsia="zh-CN"/>
        </w:rPr>
        <w:endnoteReference w:id="6"/>
      </w:r>
      <w:r>
        <w:rPr>
          <w:rStyle w:val="10"/>
          <w:rFonts w:hint="eastAsia"/>
          <w:b w:val="0"/>
          <w:bCs w:val="0"/>
          <w:sz w:val="21"/>
          <w:szCs w:val="21"/>
          <w:highlight w:val="none"/>
          <w:lang w:val="en-US" w:eastAsia="zh-CN"/>
        </w:rPr>
        <w:t>]</w:t>
      </w:r>
      <w:r>
        <w:rPr>
          <w:rFonts w:hint="eastAsia"/>
          <w:b w:val="0"/>
          <w:bCs w:val="0"/>
          <w:sz w:val="21"/>
          <w:szCs w:val="21"/>
          <w:highlight w:val="none"/>
          <w:lang w:val="en-US" w:eastAsia="zh-CN"/>
        </w:rPr>
        <w:t>资历框架通过提供系统性的对接机制和透明的评估标准，显著提升了互认过程的效率和可预期性</w:t>
      </w:r>
      <w:r>
        <w:rPr>
          <w:rStyle w:val="10"/>
          <w:rFonts w:hint="eastAsia"/>
          <w:b w:val="0"/>
          <w:bCs w:val="0"/>
          <w:sz w:val="21"/>
          <w:szCs w:val="21"/>
          <w:highlight w:val="none"/>
          <w:lang w:val="en-US" w:eastAsia="zh-CN"/>
        </w:rPr>
        <w:t>[</w:t>
      </w:r>
      <w:r>
        <w:rPr>
          <w:rStyle w:val="10"/>
          <w:rFonts w:hint="eastAsia"/>
          <w:b w:val="0"/>
          <w:bCs w:val="0"/>
          <w:sz w:val="21"/>
          <w:szCs w:val="21"/>
          <w:highlight w:val="none"/>
          <w:lang w:val="en-US" w:eastAsia="zh-CN"/>
        </w:rPr>
        <w:endnoteReference w:id="7"/>
      </w:r>
      <w:r>
        <w:rPr>
          <w:rFonts w:hint="eastAsia"/>
          <w:b w:val="0"/>
          <w:bCs w:val="0"/>
          <w:sz w:val="21"/>
          <w:szCs w:val="21"/>
          <w:highlight w:val="none"/>
          <w:vertAlign w:val="superscript"/>
          <w:lang w:val="en-US" w:eastAsia="zh-CN"/>
        </w:rPr>
        <w:t>]</w:t>
      </w:r>
      <w:r>
        <w:rPr>
          <w:rStyle w:val="10"/>
          <w:rFonts w:hint="eastAsia"/>
          <w:b w:val="0"/>
          <w:bCs w:val="0"/>
          <w:sz w:val="21"/>
          <w:szCs w:val="21"/>
          <w:highlight w:val="none"/>
          <w:lang w:val="en-US" w:eastAsia="zh-CN"/>
        </w:rPr>
        <w:t>[</w:t>
      </w:r>
      <w:r>
        <w:rPr>
          <w:rStyle w:val="10"/>
          <w:rFonts w:hint="eastAsia"/>
          <w:b w:val="0"/>
          <w:bCs w:val="0"/>
          <w:sz w:val="21"/>
          <w:szCs w:val="21"/>
          <w:highlight w:val="none"/>
          <w:lang w:val="en-US" w:eastAsia="zh-CN"/>
        </w:rPr>
        <w:endnoteReference w:id="8"/>
      </w:r>
      <w:r>
        <w:rPr>
          <w:rFonts w:hint="eastAsia"/>
          <w:b w:val="0"/>
          <w:bCs w:val="0"/>
          <w:sz w:val="21"/>
          <w:szCs w:val="21"/>
          <w:highlight w:val="none"/>
          <w:vertAlign w:val="superscript"/>
          <w:lang w:val="en-US" w:eastAsia="zh-CN"/>
        </w:rPr>
        <w:t>]</w:t>
      </w:r>
      <w:r>
        <w:rPr>
          <w:rFonts w:hint="eastAsia"/>
          <w:b w:val="0"/>
          <w:bCs w:val="0"/>
          <w:sz w:val="21"/>
          <w:szCs w:val="21"/>
          <w:highlight w:val="none"/>
          <w:lang w:val="en-US" w:eastAsia="zh-CN"/>
        </w:rPr>
        <w:t>。资历框架具有显著的软法（soft law）特征，基于资历框架可以在不同范围、尺度下实现系统性的参照、比对甚至对接。</w:t>
      </w:r>
    </w:p>
    <w:p w14:paraId="6D0CEF8F">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资历框架对接是指不同框架之间建立系统性对应关系的过程，其核心是确立框架间的等级对应和质量互信。欧盟资历框架（EQF）的实践为框架对接提供了最具代表性的经验，确立了包括组织保障、技术对应、方法论基础、程序透明、质量保障等十大对接标准</w:t>
      </w:r>
      <w:r>
        <w:rPr>
          <w:rStyle w:val="10"/>
          <w:rFonts w:hint="eastAsia"/>
          <w:b w:val="0"/>
          <w:bCs w:val="0"/>
          <w:sz w:val="21"/>
          <w:szCs w:val="21"/>
          <w:lang w:val="en-US" w:eastAsia="zh-CN"/>
        </w:rPr>
        <w:t>[</w:t>
      </w:r>
      <w:r>
        <w:rPr>
          <w:rStyle w:val="10"/>
          <w:rFonts w:hint="eastAsia"/>
          <w:b w:val="0"/>
          <w:bCs w:val="0"/>
          <w:sz w:val="21"/>
          <w:szCs w:val="21"/>
          <w:lang w:val="en-US" w:eastAsia="zh-CN"/>
        </w:rPr>
        <w:endnoteReference w:id="9"/>
      </w:r>
      <w:r>
        <w:rPr>
          <w:rStyle w:val="10"/>
          <w:rFonts w:hint="eastAsia"/>
          <w:b w:val="0"/>
          <w:bCs w:val="0"/>
          <w:sz w:val="21"/>
          <w:szCs w:val="21"/>
          <w:lang w:val="en-US" w:eastAsia="zh-CN"/>
        </w:rPr>
        <w:t>][</w:t>
      </w:r>
      <w:r>
        <w:rPr>
          <w:rStyle w:val="10"/>
          <w:rFonts w:hint="eastAsia"/>
          <w:b w:val="0"/>
          <w:bCs w:val="0"/>
          <w:sz w:val="21"/>
          <w:szCs w:val="21"/>
          <w:lang w:val="en-US" w:eastAsia="zh-CN"/>
        </w:rPr>
        <w:endnoteReference w:id="10"/>
      </w:r>
      <w:r>
        <w:rPr>
          <w:rStyle w:val="10"/>
          <w:rFonts w:hint="eastAsia"/>
          <w:b w:val="0"/>
          <w:bCs w:val="0"/>
          <w:sz w:val="21"/>
          <w:szCs w:val="21"/>
          <w:lang w:val="en-US" w:eastAsia="zh-CN"/>
        </w:rPr>
        <w:t>]</w:t>
      </w:r>
      <w:r>
        <w:rPr>
          <w:rFonts w:hint="eastAsia"/>
          <w:b w:val="0"/>
          <w:bCs w:val="0"/>
          <w:sz w:val="21"/>
          <w:szCs w:val="21"/>
          <w:lang w:val="en-US" w:eastAsia="zh-CN"/>
        </w:rPr>
        <w:t>。这些标准构成了完整的对接框架，体现了资历框架可以跨越地理、行政、文化边界的特点。东盟资历参考框架（AQRF）的实践进一步证实了这一治理模式在区域合作中的可行性</w:t>
      </w:r>
      <w:r>
        <w:rPr>
          <w:rStyle w:val="10"/>
          <w:rFonts w:hint="eastAsia"/>
          <w:b w:val="0"/>
          <w:bCs w:val="0"/>
          <w:sz w:val="21"/>
          <w:szCs w:val="21"/>
          <w:lang w:val="en-US" w:eastAsia="zh-CN"/>
        </w:rPr>
        <w:t>[</w:t>
      </w:r>
      <w:r>
        <w:rPr>
          <w:rStyle w:val="10"/>
          <w:rFonts w:hint="eastAsia"/>
          <w:b w:val="0"/>
          <w:bCs w:val="0"/>
          <w:sz w:val="21"/>
          <w:szCs w:val="21"/>
          <w:lang w:val="en-US" w:eastAsia="zh-CN"/>
        </w:rPr>
        <w:endnoteReference w:id="11"/>
      </w:r>
      <w:r>
        <w:rPr>
          <w:rStyle w:val="10"/>
          <w:rFonts w:hint="eastAsia"/>
          <w:b w:val="0"/>
          <w:bCs w:val="0"/>
          <w:sz w:val="21"/>
          <w:szCs w:val="21"/>
          <w:lang w:val="en-US" w:eastAsia="zh-CN"/>
        </w:rPr>
        <w:t>]</w:t>
      </w:r>
      <w:r>
        <w:rPr>
          <w:rFonts w:hint="eastAsia"/>
          <w:b w:val="0"/>
          <w:bCs w:val="0"/>
          <w:sz w:val="21"/>
          <w:szCs w:val="21"/>
          <w:lang w:val="en-US" w:eastAsia="zh-CN"/>
        </w:rPr>
        <w:t>。此外，一些第三方的学历认证组织也充分重视到资历框架的工具作用，也建立了自身评价体系与资历框架的对应关系，这类实践说明资历框架对接不仅发生在国家之间，也可以发生在机构等不同的主体之间。</w:t>
      </w:r>
      <w:r>
        <w:rPr>
          <w:rStyle w:val="10"/>
          <w:rFonts w:hint="eastAsia"/>
          <w:b w:val="0"/>
          <w:bCs w:val="0"/>
          <w:sz w:val="21"/>
          <w:szCs w:val="21"/>
          <w:lang w:val="en-US" w:eastAsia="zh-CN"/>
        </w:rPr>
        <w:t>[</w:t>
      </w:r>
      <w:r>
        <w:rPr>
          <w:rStyle w:val="10"/>
          <w:rFonts w:hint="eastAsia"/>
          <w:b w:val="0"/>
          <w:bCs w:val="0"/>
          <w:sz w:val="21"/>
          <w:szCs w:val="21"/>
          <w:lang w:val="en-US" w:eastAsia="zh-CN"/>
        </w:rPr>
        <w:endnoteReference w:id="12"/>
      </w:r>
      <w:r>
        <w:rPr>
          <w:rStyle w:val="10"/>
          <w:rFonts w:hint="eastAsia"/>
          <w:b w:val="0"/>
          <w:bCs w:val="0"/>
          <w:sz w:val="21"/>
          <w:szCs w:val="21"/>
          <w:lang w:val="en-US" w:eastAsia="zh-CN"/>
        </w:rPr>
        <w:t>]</w:t>
      </w:r>
    </w:p>
    <w:p w14:paraId="34B72D96">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b w:val="0"/>
          <w:bCs w:val="0"/>
          <w:sz w:val="21"/>
          <w:szCs w:val="21"/>
          <w:lang w:val="en-US" w:eastAsia="zh-CN"/>
        </w:rPr>
      </w:pPr>
      <w:r>
        <w:rPr>
          <w:rFonts w:hint="eastAsia"/>
          <w:b w:val="0"/>
          <w:bCs w:val="0"/>
          <w:sz w:val="21"/>
          <w:szCs w:val="21"/>
          <w:lang w:val="en-US" w:eastAsia="zh-CN"/>
        </w:rPr>
        <w:t>现有研究对资历框架的概念、性质、实践，以及资历框架的对接问题都有一定的关注，但还存在两个可以继续探索的方向：第一，对资历框架对接的理论研究较为薄弱，成功的框架对接需要同时关注制度性和技术性要素，目前研究主要关注其技术要素，对实现对接的治理过程和制度要素缺乏关注；第二，研究方法以政策文本分析为主，缺乏对具体实践案例的深入考察。在粤港澳大湾区背景下，粤港两地资历框架的合作与实践反映了两地在教育治理模式方面的探索与创新，具备研究价值。因此，运用协同治理的理论框架，通过案例分析方法考察粤港资历框架对接的实践效果，不仅能够填补现有研究的空白，也能为大湾区教育规则衔接提供有益启示。</w:t>
      </w:r>
    </w:p>
    <w:p w14:paraId="4B474939">
      <w:pPr>
        <w:keepNext w:val="0"/>
        <w:keepLines w:val="0"/>
        <w:pageBreakBefore w:val="0"/>
        <w:widowControl w:val="0"/>
        <w:numPr>
          <w:ilvl w:val="0"/>
          <w:numId w:val="2"/>
        </w:numPr>
        <w:kinsoku/>
        <w:wordWrap/>
        <w:overflowPunct/>
        <w:topLinePunct w:val="0"/>
        <w:autoSpaceDE/>
        <w:autoSpaceDN/>
        <w:bidi w:val="0"/>
        <w:adjustRightInd/>
        <w:snapToGrid/>
        <w:ind w:left="420" w:leftChars="0"/>
        <w:jc w:val="both"/>
        <w:textAlignment w:val="auto"/>
        <w:outlineLvl w:val="1"/>
        <w:rPr>
          <w:rFonts w:hint="eastAsia"/>
          <w:b/>
          <w:bCs/>
          <w:sz w:val="21"/>
          <w:szCs w:val="21"/>
          <w:lang w:val="en-US" w:eastAsia="zh-CN"/>
        </w:rPr>
      </w:pPr>
      <w:r>
        <w:rPr>
          <w:rFonts w:hint="eastAsia"/>
          <w:b/>
          <w:bCs/>
          <w:sz w:val="21"/>
          <w:szCs w:val="21"/>
          <w:lang w:val="en-US" w:eastAsia="zh-CN"/>
        </w:rPr>
        <w:t>分析框架</w:t>
      </w:r>
    </w:p>
    <w:p w14:paraId="5CADB612">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b w:val="0"/>
          <w:bCs w:val="0"/>
          <w:sz w:val="21"/>
          <w:szCs w:val="21"/>
          <w:lang w:val="en-US" w:eastAsia="zh-CN"/>
        </w:rPr>
      </w:pPr>
      <w:r>
        <w:rPr>
          <w:rFonts w:hint="eastAsia"/>
          <w:b w:val="0"/>
          <w:bCs w:val="0"/>
          <w:sz w:val="21"/>
          <w:szCs w:val="21"/>
          <w:lang w:val="en-US" w:eastAsia="zh-CN"/>
        </w:rPr>
        <w:t>粤港资历框架的对接涉及不同性质的多主体间的协同，呈现出复杂性特征，本文使用协同治理理论帮助分析。</w:t>
      </w:r>
      <w:r>
        <w:rPr>
          <w:rFonts w:hint="eastAsia"/>
          <w:szCs w:val="21"/>
        </w:rPr>
        <w:t>作为一种新型治理形态，Ansell &amp; Gash将协同治理定义为</w:t>
      </w:r>
      <w:r>
        <w:rPr>
          <w:rFonts w:hint="eastAsia"/>
          <w:szCs w:val="21"/>
          <w:lang w:eastAsia="zh-CN"/>
        </w:rPr>
        <w:t>“</w:t>
      </w:r>
      <w:r>
        <w:rPr>
          <w:rFonts w:hint="eastAsia"/>
          <w:szCs w:val="21"/>
        </w:rPr>
        <w:t>能建设性地跨越公共部门、政府等级以及公</w:t>
      </w:r>
      <w:r>
        <w:rPr>
          <w:rFonts w:hint="eastAsia"/>
          <w:szCs w:val="21"/>
          <w:highlight w:val="none"/>
        </w:rPr>
        <w:t>共、私人和公民组织的边界，从而达到本不能或不易达到的公共治理目标</w:t>
      </w:r>
      <w:r>
        <w:rPr>
          <w:rFonts w:hint="eastAsia"/>
          <w:szCs w:val="21"/>
          <w:highlight w:val="none"/>
          <w:lang w:eastAsia="zh-CN"/>
        </w:rPr>
        <w:t>”的</w:t>
      </w:r>
      <w:r>
        <w:rPr>
          <w:rFonts w:hint="eastAsia"/>
          <w:szCs w:val="21"/>
          <w:highlight w:val="none"/>
          <w:lang w:val="en-US" w:eastAsia="zh-CN"/>
        </w:rPr>
        <w:t>公共管理过程和结构</w:t>
      </w:r>
      <w:r>
        <w:rPr>
          <w:rStyle w:val="10"/>
          <w:rFonts w:hint="eastAsia"/>
          <w:b w:val="0"/>
          <w:bCs w:val="0"/>
          <w:sz w:val="21"/>
          <w:szCs w:val="21"/>
          <w:highlight w:val="none"/>
          <w:lang w:val="en-US" w:eastAsia="zh-CN"/>
        </w:rPr>
        <w:t>[</w:t>
      </w:r>
      <w:r>
        <w:rPr>
          <w:rStyle w:val="10"/>
          <w:rFonts w:hint="eastAsia"/>
          <w:b w:val="0"/>
          <w:bCs w:val="0"/>
          <w:sz w:val="21"/>
          <w:szCs w:val="21"/>
          <w:highlight w:val="none"/>
          <w:lang w:val="en-US" w:eastAsia="zh-CN"/>
        </w:rPr>
        <w:endnoteReference w:id="13"/>
      </w:r>
      <w:r>
        <w:rPr>
          <w:rStyle w:val="10"/>
          <w:rFonts w:hint="eastAsia"/>
          <w:b w:val="0"/>
          <w:bCs w:val="0"/>
          <w:sz w:val="21"/>
          <w:szCs w:val="21"/>
          <w:highlight w:val="none"/>
          <w:lang w:val="en-US" w:eastAsia="zh-CN"/>
        </w:rPr>
        <w:t>][</w:t>
      </w:r>
      <w:r>
        <w:rPr>
          <w:rStyle w:val="10"/>
          <w:rFonts w:hint="eastAsia"/>
          <w:b w:val="0"/>
          <w:bCs w:val="0"/>
          <w:sz w:val="21"/>
          <w:szCs w:val="21"/>
          <w:highlight w:val="none"/>
          <w:lang w:val="en-US" w:eastAsia="zh-CN"/>
        </w:rPr>
        <w:endnoteReference w:id="14"/>
      </w:r>
      <w:r>
        <w:rPr>
          <w:rStyle w:val="10"/>
          <w:rFonts w:hint="eastAsia"/>
          <w:b w:val="0"/>
          <w:bCs w:val="0"/>
          <w:sz w:val="21"/>
          <w:szCs w:val="21"/>
          <w:highlight w:val="none"/>
          <w:lang w:val="en-US" w:eastAsia="zh-CN"/>
        </w:rPr>
        <w:t>]</w:t>
      </w:r>
      <w:r>
        <w:rPr>
          <w:rFonts w:hint="eastAsia"/>
          <w:b w:val="0"/>
          <w:bCs w:val="0"/>
          <w:sz w:val="21"/>
          <w:szCs w:val="21"/>
          <w:highlight w:val="none"/>
          <w:lang w:val="en-US" w:eastAsia="zh-CN"/>
        </w:rPr>
        <w:t>。</w:t>
      </w:r>
      <w:r>
        <w:rPr>
          <w:rFonts w:hint="eastAsia"/>
          <w:szCs w:val="21"/>
          <w:highlight w:val="none"/>
        </w:rPr>
        <w:t>协同治理理论发展至今已形成较为完整的理论体系</w:t>
      </w:r>
      <w:r>
        <w:rPr>
          <w:rFonts w:hint="eastAsia"/>
          <w:szCs w:val="21"/>
          <w:highlight w:val="none"/>
          <w:lang w:eastAsia="zh-CN"/>
        </w:rPr>
        <w:t>，</w:t>
      </w:r>
      <w:r>
        <w:rPr>
          <w:rFonts w:hint="eastAsia"/>
          <w:szCs w:val="21"/>
          <w:highlight w:val="none"/>
          <w:lang w:val="en-US" w:eastAsia="zh-CN"/>
        </w:rPr>
        <w:t>协同治理本身也因其跨界特征被称为一种“善治”模式</w:t>
      </w:r>
      <w:r>
        <w:rPr>
          <w:rFonts w:hint="eastAsia"/>
          <w:szCs w:val="21"/>
          <w:highlight w:val="none"/>
        </w:rPr>
        <w:t>。</w:t>
      </w:r>
      <w:r>
        <w:rPr>
          <w:rFonts w:hint="eastAsia"/>
          <w:b w:val="0"/>
          <w:bCs w:val="0"/>
          <w:sz w:val="21"/>
          <w:szCs w:val="21"/>
          <w:highlight w:val="none"/>
          <w:lang w:val="en-US" w:eastAsia="zh-CN"/>
        </w:rPr>
        <w:t>许多学者都针对协同治理过程提出了分析框架，E</w:t>
      </w:r>
      <w:r>
        <w:rPr>
          <w:rFonts w:hint="eastAsia"/>
          <w:szCs w:val="21"/>
          <w:highlight w:val="none"/>
        </w:rPr>
        <w:t>merson等学者提出的</w:t>
      </w:r>
      <w:r>
        <w:rPr>
          <w:rFonts w:hint="eastAsia"/>
          <w:szCs w:val="21"/>
          <w:highlight w:val="none"/>
          <w:lang w:eastAsia="zh-CN"/>
        </w:rPr>
        <w:t>“</w:t>
      </w:r>
      <w:r>
        <w:rPr>
          <w:rFonts w:hint="eastAsia"/>
          <w:szCs w:val="21"/>
          <w:highlight w:val="none"/>
        </w:rPr>
        <w:t>协同治理体制</w:t>
      </w:r>
      <w:r>
        <w:rPr>
          <w:rFonts w:hint="eastAsia"/>
          <w:szCs w:val="21"/>
          <w:highlight w:val="none"/>
          <w:lang w:eastAsia="zh-CN"/>
        </w:rPr>
        <w:t>（</w:t>
      </w:r>
      <w:r>
        <w:rPr>
          <w:rFonts w:hint="eastAsia"/>
          <w:szCs w:val="21"/>
          <w:highlight w:val="none"/>
          <w:lang w:val="en-US" w:eastAsia="zh-CN"/>
        </w:rPr>
        <w:t>CGR</w:t>
      </w:r>
      <w:r>
        <w:rPr>
          <w:rFonts w:hint="eastAsia"/>
          <w:szCs w:val="21"/>
          <w:highlight w:val="none"/>
          <w:lang w:eastAsia="zh-CN"/>
        </w:rPr>
        <w:t>）”</w:t>
      </w:r>
      <w:r>
        <w:rPr>
          <w:rFonts w:hint="eastAsia"/>
          <w:szCs w:val="21"/>
          <w:highlight w:val="none"/>
        </w:rPr>
        <w:t>具有重要影响。该框架包含系统环境、协同动力和协同</w:t>
      </w:r>
      <w:r>
        <w:rPr>
          <w:rFonts w:hint="eastAsia"/>
          <w:szCs w:val="21"/>
        </w:rPr>
        <w:t>行动三个核心要素。</w:t>
      </w:r>
      <w:r>
        <w:rPr>
          <w:rFonts w:hint="eastAsia"/>
          <w:szCs w:val="21"/>
          <w:lang w:val="en-US" w:eastAsia="zh-CN"/>
        </w:rPr>
        <w:t>他认为</w:t>
      </w:r>
      <w:r>
        <w:rPr>
          <w:rFonts w:hint="eastAsia"/>
          <w:szCs w:val="21"/>
        </w:rPr>
        <w:t>协同治理是一个复杂的涌现过程，它并非自动触发，而是通过系统环境</w:t>
      </w:r>
      <w:r>
        <w:rPr>
          <w:rFonts w:hint="eastAsia"/>
          <w:szCs w:val="21"/>
          <w:lang w:eastAsia="zh-CN"/>
        </w:rPr>
        <w:t>的</w:t>
      </w:r>
      <w:r>
        <w:rPr>
          <w:rFonts w:hint="eastAsia"/>
          <w:szCs w:val="21"/>
          <w:lang w:val="en-US" w:eastAsia="zh-CN"/>
        </w:rPr>
        <w:t>触发因素启动，通过</w:t>
      </w:r>
      <w:r>
        <w:rPr>
          <w:rFonts w:hint="eastAsia"/>
          <w:szCs w:val="21"/>
        </w:rPr>
        <w:t>孕育协同动力、产生协同行动，继而引发系统环境变革</w:t>
      </w:r>
      <w:r>
        <w:rPr>
          <w:rFonts w:hint="eastAsia"/>
          <w:szCs w:val="21"/>
          <w:lang w:eastAsia="zh-CN"/>
        </w:rPr>
        <w:t>，</w:t>
      </w:r>
      <w:r>
        <w:rPr>
          <w:rFonts w:hint="eastAsia"/>
          <w:szCs w:val="21"/>
          <w:lang w:val="en-US" w:eastAsia="zh-CN"/>
        </w:rPr>
        <w:t>生成协同结果</w:t>
      </w:r>
      <w:r>
        <w:rPr>
          <w:rFonts w:hint="eastAsia"/>
          <w:szCs w:val="21"/>
        </w:rPr>
        <w:t>的不断迭代循环。</w:t>
      </w:r>
      <w:r>
        <w:rPr>
          <w:rStyle w:val="10"/>
          <w:rFonts w:hint="eastAsia"/>
          <w:szCs w:val="21"/>
        </w:rPr>
        <w:t>[</w:t>
      </w:r>
      <w:r>
        <w:rPr>
          <w:rStyle w:val="10"/>
          <w:rFonts w:hint="eastAsia"/>
          <w:szCs w:val="21"/>
        </w:rPr>
        <w:endnoteReference w:id="15"/>
      </w:r>
      <w:r>
        <w:rPr>
          <w:rStyle w:val="10"/>
          <w:rFonts w:hint="eastAsia"/>
          <w:szCs w:val="21"/>
        </w:rPr>
        <w:t>]</w:t>
      </w:r>
      <w:r>
        <w:rPr>
          <w:rFonts w:hint="eastAsia"/>
          <w:szCs w:val="21"/>
          <w:lang w:val="en-US" w:eastAsia="zh-CN"/>
        </w:rPr>
        <w:t>许多学者也注意到协同治理是一个发展过程，是多主体从</w:t>
      </w:r>
      <w:r>
        <w:rPr>
          <w:rFonts w:hint="eastAsia"/>
          <w:b w:val="0"/>
          <w:bCs w:val="0"/>
          <w:sz w:val="21"/>
          <w:szCs w:val="21"/>
          <w:lang w:val="en-US" w:eastAsia="zh-CN"/>
        </w:rPr>
        <w:t>无序到有序的建构过程</w:t>
      </w:r>
      <w:r>
        <w:rPr>
          <w:rStyle w:val="10"/>
          <w:rFonts w:hint="default"/>
          <w:b w:val="0"/>
          <w:bCs w:val="0"/>
          <w:sz w:val="21"/>
          <w:szCs w:val="21"/>
          <w:lang w:val="en-US" w:eastAsia="zh-CN"/>
        </w:rPr>
        <w:t>[</w:t>
      </w:r>
      <w:r>
        <w:rPr>
          <w:rStyle w:val="10"/>
          <w:rFonts w:hint="default"/>
          <w:b w:val="0"/>
          <w:bCs w:val="0"/>
          <w:sz w:val="21"/>
          <w:szCs w:val="21"/>
          <w:lang w:val="en-US" w:eastAsia="zh-CN"/>
        </w:rPr>
        <w:endnoteReference w:id="16"/>
      </w:r>
      <w:r>
        <w:rPr>
          <w:rStyle w:val="10"/>
          <w:rFonts w:hint="default"/>
          <w:b w:val="0"/>
          <w:bCs w:val="0"/>
          <w:sz w:val="21"/>
          <w:szCs w:val="21"/>
          <w:lang w:val="en-US" w:eastAsia="zh-CN"/>
        </w:rPr>
        <w:t>]</w:t>
      </w:r>
      <w:r>
        <w:rPr>
          <w:rFonts w:hint="eastAsia"/>
          <w:b w:val="0"/>
          <w:bCs w:val="0"/>
          <w:sz w:val="21"/>
          <w:szCs w:val="21"/>
          <w:lang w:val="en-US" w:eastAsia="zh-CN"/>
        </w:rPr>
        <w:t>。</w:t>
      </w:r>
    </w:p>
    <w:p w14:paraId="65DA5DF1">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4400550" cy="2997200"/>
            <wp:effectExtent l="0" t="0" r="6350" b="0"/>
            <wp:docPr id="3" name="图片 3" descr="1736131327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36131327806"/>
                    <pic:cNvPicPr>
                      <a:picLocks noChangeAspect="1"/>
                    </pic:cNvPicPr>
                  </pic:nvPicPr>
                  <pic:blipFill>
                    <a:blip r:embed="rId6"/>
                    <a:stretch>
                      <a:fillRect/>
                    </a:stretch>
                  </pic:blipFill>
                  <pic:spPr>
                    <a:xfrm>
                      <a:off x="0" y="0"/>
                      <a:ext cx="4400550" cy="2997200"/>
                    </a:xfrm>
                    <a:prstGeom prst="rect">
                      <a:avLst/>
                    </a:prstGeom>
                  </pic:spPr>
                </pic:pic>
              </a:graphicData>
            </a:graphic>
          </wp:inline>
        </w:drawing>
      </w:r>
    </w:p>
    <w:p w14:paraId="60CE9472">
      <w:pPr>
        <w:keepNext w:val="0"/>
        <w:keepLines w:val="0"/>
        <w:pageBreakBefore w:val="0"/>
        <w:widowControl w:val="0"/>
        <w:numPr>
          <w:ilvl w:val="-1"/>
          <w:numId w:val="0"/>
        </w:numPr>
        <w:kinsoku/>
        <w:wordWrap/>
        <w:overflowPunct/>
        <w:topLinePunct w:val="0"/>
        <w:autoSpaceDE/>
        <w:autoSpaceDN/>
        <w:bidi w:val="0"/>
        <w:adjustRightInd/>
        <w:snapToGrid/>
        <w:ind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 xml:space="preserve">     在引用协同治理作为分析框架的前提下，粤港资历框架合作的过程可以被理解为一个不断迭代的过程，包括合作的启动、行动的不断迭代及协同的效果三个主要部分。文章希望通过对这三部分的分析，能够对粤港合作近十年的经验进行总结，并最大限度地将协同效果提取并运用于更广阔的范围。</w:t>
      </w:r>
    </w:p>
    <w:p w14:paraId="34B9207D">
      <w:pPr>
        <w:keepNext w:val="0"/>
        <w:keepLines w:val="0"/>
        <w:pageBreakBefore w:val="0"/>
        <w:widowControl w:val="0"/>
        <w:numPr>
          <w:ilvl w:val="0"/>
          <w:numId w:val="1"/>
        </w:numPr>
        <w:kinsoku/>
        <w:wordWrap/>
        <w:overflowPunct/>
        <w:topLinePunct w:val="0"/>
        <w:autoSpaceDE/>
        <w:autoSpaceDN/>
        <w:bidi w:val="0"/>
        <w:adjustRightInd/>
        <w:snapToGrid/>
        <w:ind w:left="-2" w:leftChars="0" w:firstLine="422" w:firstLineChars="0"/>
        <w:jc w:val="both"/>
        <w:textAlignment w:val="auto"/>
        <w:outlineLvl w:val="0"/>
        <w:rPr>
          <w:rFonts w:hint="default"/>
          <w:b/>
          <w:bCs/>
          <w:sz w:val="21"/>
          <w:szCs w:val="21"/>
          <w:lang w:val="en-US" w:eastAsia="zh-CN"/>
        </w:rPr>
      </w:pPr>
      <w:r>
        <w:rPr>
          <w:rFonts w:hint="eastAsia"/>
          <w:b/>
          <w:bCs/>
          <w:sz w:val="21"/>
          <w:szCs w:val="21"/>
          <w:lang w:val="en-US" w:eastAsia="zh-CN"/>
        </w:rPr>
        <w:t>案例概况与研究方法</w:t>
      </w:r>
    </w:p>
    <w:p w14:paraId="0E853E8F">
      <w:pPr>
        <w:keepNext w:val="0"/>
        <w:keepLines w:val="0"/>
        <w:pageBreakBefore w:val="0"/>
        <w:widowControl w:val="0"/>
        <w:numPr>
          <w:ilvl w:val="0"/>
          <w:numId w:val="3"/>
        </w:numPr>
        <w:kinsoku/>
        <w:wordWrap/>
        <w:overflowPunct/>
        <w:topLinePunct w:val="0"/>
        <w:autoSpaceDE/>
        <w:autoSpaceDN/>
        <w:bidi w:val="0"/>
        <w:adjustRightInd/>
        <w:snapToGrid/>
        <w:ind w:left="420"/>
        <w:jc w:val="both"/>
        <w:textAlignment w:val="auto"/>
        <w:outlineLvl w:val="1"/>
        <w:rPr>
          <w:rFonts w:hint="eastAsia"/>
          <w:b/>
          <w:bCs/>
          <w:sz w:val="21"/>
          <w:szCs w:val="21"/>
          <w:lang w:val="en-US" w:eastAsia="zh-CN"/>
        </w:rPr>
      </w:pPr>
      <w:r>
        <w:rPr>
          <w:rFonts w:hint="eastAsia"/>
          <w:b/>
          <w:bCs/>
          <w:sz w:val="21"/>
          <w:szCs w:val="21"/>
          <w:lang w:val="en-US" w:eastAsia="zh-CN"/>
        </w:rPr>
        <w:t xml:space="preserve">案例概况  </w:t>
      </w:r>
    </w:p>
    <w:p w14:paraId="266F6916">
      <w:pPr>
        <w:keepNext w:val="0"/>
        <w:keepLines w:val="0"/>
        <w:pageBreakBefore w:val="0"/>
        <w:widowControl/>
        <w:numPr>
          <w:ilvl w:val="-1"/>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i w:val="0"/>
          <w:iCs w:val="0"/>
          <w:caps w:val="0"/>
          <w:spacing w:val="0"/>
          <w:sz w:val="21"/>
          <w:szCs w:val="21"/>
          <w:shd w:val="clear" w:fill="FFFFFF"/>
          <w:lang w:val="en-US" w:eastAsia="zh-CN"/>
        </w:rPr>
      </w:pPr>
      <w:r>
        <w:rPr>
          <w:rFonts w:ascii="宋体" w:hAnsi="宋体" w:eastAsia="宋体" w:cs="宋体"/>
          <w:i w:val="0"/>
          <w:iCs w:val="0"/>
          <w:caps w:val="0"/>
          <w:spacing w:val="0"/>
          <w:sz w:val="21"/>
          <w:szCs w:val="21"/>
          <w:shd w:val="clear" w:fill="FFFFFF"/>
        </w:rPr>
        <w:t>粤港资历框架合作</w:t>
      </w:r>
      <w:r>
        <w:rPr>
          <w:rFonts w:hint="eastAsia" w:ascii="宋体" w:hAnsi="宋体" w:eastAsia="宋体" w:cs="宋体"/>
          <w:i w:val="0"/>
          <w:iCs w:val="0"/>
          <w:caps w:val="0"/>
          <w:spacing w:val="0"/>
          <w:sz w:val="21"/>
          <w:szCs w:val="21"/>
          <w:shd w:val="clear" w:fill="FFFFFF"/>
          <w:lang w:val="en-US" w:eastAsia="zh-CN"/>
        </w:rPr>
        <w:t>是需要一个触发过程的，它</w:t>
      </w:r>
      <w:r>
        <w:rPr>
          <w:rFonts w:ascii="宋体" w:hAnsi="宋体" w:eastAsia="宋体" w:cs="宋体"/>
          <w:i w:val="0"/>
          <w:iCs w:val="0"/>
          <w:caps w:val="0"/>
          <w:spacing w:val="0"/>
          <w:sz w:val="21"/>
          <w:szCs w:val="21"/>
          <w:shd w:val="clear" w:fill="FFFFFF"/>
        </w:rPr>
        <w:t>的触发是一个渐进、多层次的历史过程。协同治理往往产生于既有制度无法应对的挑战之中，并通过多元主体的协作来应对复杂的治理需求。</w:t>
      </w:r>
      <w:r>
        <w:rPr>
          <w:rFonts w:hint="default" w:ascii="宋体" w:hAnsi="宋体" w:eastAsia="宋体" w:cs="宋体"/>
          <w:i w:val="0"/>
          <w:iCs w:val="0"/>
          <w:caps w:val="0"/>
          <w:spacing w:val="0"/>
          <w:sz w:val="21"/>
          <w:szCs w:val="21"/>
          <w:shd w:val="clear" w:fill="FFFFFF"/>
          <w:lang w:val="en-US" w:eastAsia="zh-CN"/>
        </w:rPr>
        <w:t>粤港资历框架合作</w:t>
      </w:r>
      <w:r>
        <w:rPr>
          <w:rFonts w:hint="eastAsia" w:ascii="宋体" w:hAnsi="宋体" w:eastAsia="宋体" w:cs="宋体"/>
          <w:i w:val="0"/>
          <w:iCs w:val="0"/>
          <w:caps w:val="0"/>
          <w:spacing w:val="0"/>
          <w:sz w:val="21"/>
          <w:szCs w:val="21"/>
          <w:shd w:val="clear" w:fill="FFFFFF"/>
          <w:lang w:val="en-US" w:eastAsia="zh-CN"/>
        </w:rPr>
        <w:t>是政策环境、现实需求等因素共同触发的协同治理实践：</w:t>
      </w:r>
    </w:p>
    <w:p w14:paraId="60D0EA78">
      <w:pPr>
        <w:keepNext w:val="0"/>
        <w:keepLines w:val="0"/>
        <w:pageBreakBefore w:val="0"/>
        <w:widowControl/>
        <w:numPr>
          <w:ilvl w:val="-1"/>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szCs w:val="21"/>
          <w:shd w:val="clear" w:fill="FFFFFF"/>
          <w:lang w:val="en-US" w:eastAsia="zh-CN"/>
        </w:rPr>
      </w:pPr>
      <w:r>
        <w:rPr>
          <w:rFonts w:hint="default" w:ascii="宋体" w:hAnsi="宋体" w:eastAsia="宋体" w:cs="宋体"/>
          <w:i w:val="0"/>
          <w:iCs w:val="0"/>
          <w:caps w:val="0"/>
          <w:spacing w:val="0"/>
          <w:sz w:val="21"/>
          <w:szCs w:val="21"/>
          <w:shd w:val="clear" w:fill="FFFFFF"/>
          <w:lang w:val="en-US" w:eastAsia="zh-CN"/>
        </w:rPr>
        <w:t>2010年《国家中长期教育改革和发展规划纲要（2010-2020年）》首次将"构建终身教育体系"确立为国家战略目标，并在此后的"十二五"、"十三五"期间持续推进。特别是在"十二五"期间</w:t>
      </w:r>
      <w:r>
        <w:rPr>
          <w:rFonts w:hint="default" w:ascii="宋体" w:hAnsi="宋体" w:eastAsia="宋体" w:cs="宋体"/>
          <w:szCs w:val="21"/>
          <w:shd w:val="clear" w:fill="FFFFFF"/>
        </w:rPr>
        <w:t>持续推进</w:t>
      </w:r>
      <w:r>
        <w:rPr>
          <w:rFonts w:hint="eastAsia" w:ascii="宋体" w:hAnsi="宋体" w:eastAsia="宋体" w:cs="宋体"/>
          <w:szCs w:val="21"/>
          <w:shd w:val="clear" w:fill="FFFFFF"/>
          <w:lang w:eastAsia="zh-CN"/>
        </w:rPr>
        <w:t>。</w:t>
      </w:r>
      <w:r>
        <w:rPr>
          <w:rFonts w:hint="default" w:ascii="宋体" w:hAnsi="宋体" w:eastAsia="宋体" w:cs="宋体"/>
          <w:i w:val="0"/>
          <w:iCs w:val="0"/>
          <w:caps w:val="0"/>
          <w:spacing w:val="0"/>
          <w:sz w:val="21"/>
          <w:szCs w:val="21"/>
          <w:shd w:val="clear" w:fill="FFFFFF"/>
          <w:lang w:val="en-US" w:eastAsia="zh-CN"/>
        </w:rPr>
        <w:t>在这一政策背景下，广播电视大学的转型成为推进终身教育体系建设的重要举措。2010年，教育部启动广播电视大学转型试点，将广东等省份纳入第一批试点单位。</w:t>
      </w:r>
      <w:r>
        <w:rPr>
          <w:rFonts w:hint="default" w:ascii="宋体" w:hAnsi="宋体" w:eastAsia="宋体" w:cs="宋体"/>
          <w:szCs w:val="21"/>
          <w:shd w:val="clear" w:fill="FFFFFF"/>
        </w:rPr>
        <w:t>不仅获得了独立办学自主权，更被赋予建设省级学分银行、促进学习成果认证与转换的重要使命。这一转型使广东开放大学获得了在终身教育领域代表广东省的制度性地位。</w:t>
      </w:r>
      <w:r>
        <w:rPr>
          <w:rFonts w:hint="eastAsia" w:ascii="宋体" w:hAnsi="宋体" w:eastAsia="宋体" w:cs="宋体"/>
          <w:szCs w:val="21"/>
          <w:shd w:val="clear" w:fill="FFFFFF"/>
          <w:lang w:val="en-US" w:eastAsia="zh-CN"/>
        </w:rPr>
        <w:t>2014年广东开始建设广东终身教育学分银行，并逐步将资历框架作为基础性制度。</w:t>
      </w:r>
    </w:p>
    <w:p w14:paraId="728E56A2">
      <w:pPr>
        <w:keepNext w:val="0"/>
        <w:keepLines w:val="0"/>
        <w:pageBreakBefore w:val="0"/>
        <w:widowControl/>
        <w:numPr>
          <w:ilvl w:val="-1"/>
          <w:numId w:val="0"/>
        </w:numPr>
        <w:kinsoku/>
        <w:wordWrap/>
        <w:overflowPunct/>
        <w:topLinePunct w:val="0"/>
        <w:autoSpaceDE/>
        <w:autoSpaceDN/>
        <w:bidi w:val="0"/>
        <w:adjustRightInd/>
        <w:snapToGrid/>
        <w:ind w:firstLine="420" w:firstLineChars="200"/>
        <w:jc w:val="left"/>
        <w:textAlignment w:val="auto"/>
        <w:rPr>
          <w:rFonts w:hint="default" w:ascii="宋体" w:hAnsi="宋体" w:eastAsia="宋体" w:cs="宋体"/>
          <w:szCs w:val="21"/>
          <w:shd w:val="clear" w:fill="FFFFFF"/>
          <w:lang w:val="en-US" w:eastAsia="zh-CN"/>
        </w:rPr>
      </w:pPr>
      <w:r>
        <w:rPr>
          <w:rFonts w:hint="default" w:ascii="宋体" w:hAnsi="宋体" w:eastAsia="宋体" w:cs="宋体"/>
          <w:i w:val="0"/>
          <w:iCs w:val="0"/>
          <w:caps w:val="0"/>
          <w:spacing w:val="0"/>
          <w:sz w:val="21"/>
          <w:szCs w:val="21"/>
          <w:shd w:val="clear" w:fill="FFFFFF"/>
          <w:lang w:val="en-US" w:eastAsia="zh-CN"/>
        </w:rPr>
        <w:t>然而，作为教育场域中的边缘行动者，广东开放大学在推进这项使命时面临着显著的挑战。一方面是制度合法性的压力，另一方面是实践层面的困惑：如何建设资历框架缺乏国内经验可循，而国家层面对终身教育制度的发展方向也并不明确。这种情况促使其必须寻求已有成熟经验的指导。在这样的背景下，粤港两地的合作应运而生</w:t>
      </w:r>
      <w:ins w:id="6" w:author="斯羽Kelinda" w:date="2025-01-13T11:25:25Z">
        <w:r>
          <w:rPr>
            <w:rFonts w:hint="eastAsia" w:ascii="宋体" w:hAnsi="宋体" w:eastAsia="宋体" w:cs="宋体"/>
            <w:i w:val="0"/>
            <w:iCs w:val="0"/>
            <w:caps w:val="0"/>
            <w:spacing w:val="0"/>
            <w:sz w:val="21"/>
            <w:szCs w:val="21"/>
            <w:shd w:val="clear" w:fill="FFFFFF"/>
            <w:lang w:val="en-US" w:eastAsia="zh-CN"/>
          </w:rPr>
          <w:t>,</w:t>
        </w:r>
      </w:ins>
      <w:del w:id="7" w:author="斯羽Kelinda" w:date="2025-01-13T11:25:25Z">
        <w:r>
          <w:rPr>
            <w:rFonts w:hint="default" w:ascii="宋体" w:hAnsi="宋体" w:eastAsia="宋体" w:cs="宋体"/>
            <w:i w:val="0"/>
            <w:iCs w:val="0"/>
            <w:caps w:val="0"/>
            <w:spacing w:val="0"/>
            <w:sz w:val="21"/>
            <w:szCs w:val="21"/>
            <w:shd w:val="clear" w:fill="FFFFFF"/>
            <w:lang w:val="en-US" w:eastAsia="zh-CN"/>
          </w:rPr>
          <w:delText>，</w:delText>
        </w:r>
      </w:del>
      <w:r>
        <w:rPr>
          <w:rFonts w:hint="default" w:ascii="宋体" w:hAnsi="宋体" w:eastAsia="宋体" w:cs="宋体"/>
          <w:i w:val="0"/>
          <w:iCs w:val="0"/>
          <w:caps w:val="0"/>
          <w:spacing w:val="0"/>
          <w:sz w:val="21"/>
          <w:szCs w:val="21"/>
          <w:shd w:val="clear" w:fill="FFFFFF"/>
          <w:lang w:val="en-US" w:eastAsia="zh-CN"/>
        </w:rPr>
        <w:t>且展现出明显的互补性需求。广东开放大学则希望通过学习香港经验，提升办学水平，完善学分认证体系。香港方面的参与同样积极：香港学术及职业资历评审局期望通过</w:t>
      </w:r>
      <w:r>
        <w:rPr>
          <w:rFonts w:hint="eastAsia" w:ascii="宋体" w:hAnsi="宋体" w:eastAsia="宋体" w:cs="宋体"/>
          <w:i w:val="0"/>
          <w:iCs w:val="0"/>
          <w:caps w:val="0"/>
          <w:spacing w:val="0"/>
          <w:sz w:val="21"/>
          <w:szCs w:val="21"/>
          <w:shd w:val="clear" w:fill="FFFFFF"/>
          <w:lang w:val="en-US" w:eastAsia="zh-CN"/>
        </w:rPr>
        <w:t>合作</w:t>
      </w:r>
      <w:r>
        <w:rPr>
          <w:rFonts w:hint="default" w:ascii="宋体" w:hAnsi="宋体" w:eastAsia="宋体" w:cs="宋体"/>
          <w:i w:val="0"/>
          <w:iCs w:val="0"/>
          <w:caps w:val="0"/>
          <w:spacing w:val="0"/>
          <w:sz w:val="21"/>
          <w:szCs w:val="21"/>
          <w:shd w:val="clear" w:fill="FFFFFF"/>
          <w:lang w:val="en-US" w:eastAsia="zh-CN"/>
        </w:rPr>
        <w:t>扩大</w:t>
      </w:r>
      <w:r>
        <w:rPr>
          <w:rFonts w:hint="eastAsia" w:ascii="宋体" w:hAnsi="宋体" w:eastAsia="宋体" w:cs="宋体"/>
          <w:i w:val="0"/>
          <w:iCs w:val="0"/>
          <w:caps w:val="0"/>
          <w:spacing w:val="0"/>
          <w:sz w:val="21"/>
          <w:szCs w:val="21"/>
          <w:shd w:val="clear" w:fill="FFFFFF"/>
          <w:lang w:val="en-US" w:eastAsia="zh-CN"/>
        </w:rPr>
        <w:t>机构影响力，</w:t>
      </w:r>
      <w:r>
        <w:rPr>
          <w:rFonts w:hint="default" w:ascii="宋体" w:hAnsi="宋体" w:eastAsia="宋体" w:cs="宋体"/>
          <w:i w:val="0"/>
          <w:iCs w:val="0"/>
          <w:caps w:val="0"/>
          <w:spacing w:val="0"/>
          <w:sz w:val="21"/>
          <w:szCs w:val="21"/>
          <w:shd w:val="clear" w:fill="FFFFFF"/>
          <w:lang w:val="en-US" w:eastAsia="zh-CN"/>
        </w:rPr>
        <w:t>资历架构秘书处则着眼于扩大香港资历框架的</w:t>
      </w:r>
      <w:r>
        <w:rPr>
          <w:rFonts w:hint="eastAsia" w:ascii="宋体" w:hAnsi="宋体" w:eastAsia="宋体" w:cs="宋体"/>
          <w:i w:val="0"/>
          <w:iCs w:val="0"/>
          <w:caps w:val="0"/>
          <w:spacing w:val="0"/>
          <w:sz w:val="21"/>
          <w:szCs w:val="21"/>
          <w:shd w:val="clear" w:fill="FFFFFF"/>
          <w:lang w:val="en-US" w:eastAsia="zh-CN"/>
        </w:rPr>
        <w:t>社会效力</w:t>
      </w:r>
      <w:r>
        <w:rPr>
          <w:rFonts w:hint="default" w:ascii="宋体" w:hAnsi="宋体" w:eastAsia="宋体" w:cs="宋体"/>
          <w:i w:val="0"/>
          <w:iCs w:val="0"/>
          <w:caps w:val="0"/>
          <w:spacing w:val="0"/>
          <w:sz w:val="21"/>
          <w:szCs w:val="21"/>
          <w:shd w:val="clear" w:fill="FFFFFF"/>
          <w:lang w:val="en-US" w:eastAsia="zh-CN"/>
        </w:rPr>
        <w:t>。</w:t>
      </w:r>
    </w:p>
    <w:p w14:paraId="586336BE">
      <w:pPr>
        <w:keepNext w:val="0"/>
        <w:keepLines w:val="0"/>
        <w:pageBreakBefore w:val="0"/>
        <w:widowControl/>
        <w:numPr>
          <w:ilvl w:val="-1"/>
          <w:numId w:val="0"/>
        </w:numPr>
        <w:kinsoku/>
        <w:wordWrap/>
        <w:overflowPunct/>
        <w:topLinePunct w:val="0"/>
        <w:autoSpaceDE/>
        <w:autoSpaceDN/>
        <w:bidi w:val="0"/>
        <w:adjustRightInd/>
        <w:snapToGrid/>
        <w:ind w:firstLine="420" w:firstLineChars="200"/>
        <w:jc w:val="left"/>
        <w:textAlignment w:val="auto"/>
        <w:outlineLvl w:val="9"/>
        <w:rPr>
          <w:rFonts w:hint="eastAsia" w:ascii="宋体" w:hAnsi="宋体" w:eastAsia="宋体" w:cs="宋体"/>
          <w:i w:val="0"/>
          <w:iCs w:val="0"/>
          <w:caps w:val="0"/>
          <w:spacing w:val="0"/>
          <w:sz w:val="21"/>
          <w:szCs w:val="21"/>
          <w:shd w:val="clear"/>
          <w:lang w:val="en-US" w:eastAsia="zh-CN"/>
        </w:rPr>
      </w:pPr>
      <w:r>
        <w:rPr>
          <w:rFonts w:hint="default" w:ascii="宋体" w:hAnsi="宋体" w:eastAsia="宋体" w:cs="宋体"/>
          <w:i w:val="0"/>
          <w:iCs w:val="0"/>
          <w:caps w:val="0"/>
          <w:spacing w:val="0"/>
          <w:sz w:val="21"/>
          <w:szCs w:val="21"/>
          <w:shd w:val="clear" w:fill="FFFFFF"/>
          <w:lang w:val="en-US" w:eastAsia="zh-CN"/>
        </w:rPr>
        <w:t>这一合作源于中国发展终身教育体系的现实需求，通过开放大学转型这一制度变革为载体，在粤港两地长期教育交流的基础上逐步形成。从协同治理的理论视角来看，这一过程体现了多重触发因素的共同作用：国家战略和政策规划提供了领导机制，粤港两地在教育资源与发展诉求上的互补性形成了相互依赖关系，终身教育体系建设面临的经验缺失构成了不确定性，而大湾区建设背景下的教育合作需求则成为关键机制。这些因素的交织推动了一个新的治理体制的形成，用以解决既有制度框架难以应对的挑战。</w:t>
      </w:r>
    </w:p>
    <w:p w14:paraId="1BA8DE84">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outlineLvl w:val="9"/>
        <w:rPr>
          <w:rFonts w:hint="eastAsia" w:ascii="宋体" w:hAnsi="宋体" w:eastAsia="宋体" w:cs="宋体"/>
          <w:i w:val="0"/>
          <w:iCs w:val="0"/>
          <w:caps w:val="0"/>
          <w:spacing w:val="0"/>
          <w:sz w:val="21"/>
          <w:szCs w:val="21"/>
          <w:shd w:val="clear"/>
          <w:lang w:val="en-US" w:eastAsia="zh-CN"/>
        </w:rPr>
      </w:pPr>
      <w:r>
        <w:rPr>
          <w:rFonts w:hint="eastAsia" w:ascii="宋体" w:hAnsi="宋体" w:eastAsia="宋体" w:cs="宋体"/>
          <w:i w:val="0"/>
          <w:iCs w:val="0"/>
          <w:caps w:val="0"/>
          <w:spacing w:val="0"/>
          <w:sz w:val="21"/>
          <w:szCs w:val="21"/>
          <w:shd w:val="clear"/>
          <w:lang w:val="en-US" w:eastAsia="zh-CN"/>
        </w:rPr>
        <w:t>粤港资历框架的协同治理展现出清晰的迭代演进特征，经历了三个递进式发展周期。在第一个迭代周期（2014-2017），广东省开启了资历框架建设的探索，并几乎同时启动与香港的合作。从2014年开始，广东在建设学分银行时创新性地将资历框架作为其运行基础，并于2017年以地方标准形式发布《广东终身教育资历框架》（DB44/T1988-2017）。这一阶段通过香港的协助与支持，与香港资历架构《资历级别通用指标》实现了深度沟通和初步比对，为两地合作奠定了基础框架。在第二个迭代周期（2018-2021），合作进入深化互信与制度化阶段。通过深入学习香港资历架构的体制机制，双方开展了深度交流并建立互信。2019年，在学分银行的推动下，粤港澳三地教育行政部门召开资历框架合作研讨会，促成了《粤港资历框架对接协议》的签订，将合作推向制度化轨道。第三个迭代周期（2022至今）则实现了质量互认与实质对接，两地共同建设广东基于资历框架的质量保障机制，并于2024年开展基于资历框架的项目评审工作，突破了政策支持相对滞后的局限，实现了资历框架的实质对接。</w:t>
      </w:r>
    </w:p>
    <w:p w14:paraId="3FC69DA9">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outlineLvl w:val="9"/>
        <w:rPr>
          <w:rFonts w:hint="default"/>
          <w:b/>
          <w:bCs/>
          <w:sz w:val="21"/>
          <w:szCs w:val="21"/>
          <w:lang w:val="en-US" w:eastAsia="zh-CN"/>
        </w:rPr>
      </w:pPr>
      <w:r>
        <w:rPr>
          <w:rFonts w:hint="eastAsia" w:ascii="宋体" w:hAnsi="宋体" w:eastAsia="宋体" w:cs="宋体"/>
          <w:i w:val="0"/>
          <w:iCs w:val="0"/>
          <w:caps w:val="0"/>
          <w:spacing w:val="0"/>
          <w:sz w:val="21"/>
          <w:szCs w:val="21"/>
          <w:shd w:val="clear" w:fill="auto"/>
        </w:rPr>
        <w:t>粤港资历框架合作体现了协同治理的特征。从合作主体来看，香港特区教育局、广东省教育厅作为两地政府部门，以及香港学术及职业资历评审局等专业评估机构共同参与，形成了多元主体协作格局；从制度安排看，2019年签署的《粤港资历框架合作意向书》为合作提供了制度化保障，建立了常态化的合作机制；从目标导向看，两地致力于推动教育交流与合作，共同促进职业教育发展；从治理范围看，该合作立足粤港澳大湾区建设，涉及跨行政区域的教育资源整合与标准互认。这种既有多方参与、又有制度保障、既追求共同目标、又强调区域协作的治理模式，超越了传统的行政命令式管理，通过各方协商互动来实现教育领域的共同治理，是典型的协同治理实践。</w:t>
      </w:r>
      <w:r>
        <w:rPr>
          <w:rFonts w:hint="eastAsia"/>
          <w:b/>
          <w:bCs/>
          <w:sz w:val="21"/>
          <w:szCs w:val="21"/>
          <w:lang w:val="en-US" w:eastAsia="zh-CN"/>
        </w:rPr>
        <w:t xml:space="preserve">                                                  </w:t>
      </w:r>
    </w:p>
    <w:p w14:paraId="4282F148">
      <w:pPr>
        <w:keepNext w:val="0"/>
        <w:keepLines w:val="0"/>
        <w:pageBreakBefore w:val="0"/>
        <w:widowControl w:val="0"/>
        <w:numPr>
          <w:ilvl w:val="0"/>
          <w:numId w:val="3"/>
        </w:numPr>
        <w:kinsoku/>
        <w:wordWrap/>
        <w:overflowPunct/>
        <w:topLinePunct w:val="0"/>
        <w:autoSpaceDE/>
        <w:autoSpaceDN/>
        <w:bidi w:val="0"/>
        <w:adjustRightInd/>
        <w:snapToGrid/>
        <w:ind w:left="420" w:leftChars="0"/>
        <w:jc w:val="both"/>
        <w:textAlignment w:val="auto"/>
        <w:outlineLvl w:val="1"/>
        <w:rPr>
          <w:rFonts w:hint="default"/>
          <w:b/>
          <w:bCs/>
          <w:sz w:val="21"/>
          <w:szCs w:val="21"/>
          <w:lang w:val="en-US" w:eastAsia="zh-CN"/>
        </w:rPr>
      </w:pPr>
      <w:r>
        <w:rPr>
          <w:rFonts w:hint="eastAsia"/>
          <w:b/>
          <w:bCs/>
          <w:sz w:val="21"/>
          <w:szCs w:val="21"/>
          <w:lang w:val="en-US" w:eastAsia="zh-CN"/>
        </w:rPr>
        <w:t>研究方法</w:t>
      </w:r>
    </w:p>
    <w:p w14:paraId="58DAE1FF">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szCs w:val="21"/>
        </w:rPr>
      </w:pPr>
      <w:r>
        <w:rPr>
          <w:rFonts w:hint="default" w:ascii="宋体" w:hAnsi="宋体" w:eastAsia="宋体" w:cs="宋体"/>
          <w:sz w:val="21"/>
          <w:szCs w:val="21"/>
          <w:lang w:val="en-US" w:eastAsia="zh-CN"/>
        </w:rPr>
        <w:t>本研究主要采用参与观察</w:t>
      </w:r>
      <w:r>
        <w:rPr>
          <w:rFonts w:hint="eastAsia" w:ascii="宋体" w:hAnsi="宋体" w:eastAsia="宋体" w:cs="宋体"/>
          <w:sz w:val="21"/>
          <w:szCs w:val="21"/>
          <w:lang w:val="en-US" w:eastAsia="zh-CN"/>
        </w:rPr>
        <w:t>与文本分析相结合</w:t>
      </w:r>
      <w:r>
        <w:rPr>
          <w:rFonts w:hint="default" w:ascii="宋体" w:hAnsi="宋体" w:eastAsia="宋体" w:cs="宋体"/>
          <w:sz w:val="21"/>
          <w:szCs w:val="21"/>
          <w:lang w:val="en-US" w:eastAsia="zh-CN"/>
        </w:rPr>
        <w:t>的研究方法</w:t>
      </w:r>
      <w:r>
        <w:rPr>
          <w:rFonts w:hint="eastAsia" w:ascii="宋体" w:hAnsi="宋体" w:eastAsia="宋体" w:cs="宋体"/>
          <w:sz w:val="21"/>
          <w:szCs w:val="21"/>
          <w:lang w:val="en-US" w:eastAsia="zh-CN"/>
        </w:rPr>
        <w:t>。通过参与观察对上述三个迭代周期的重要会议、讨论的过程形成的观察笔记，</w:t>
      </w:r>
      <w:r>
        <w:rPr>
          <w:rFonts w:hint="eastAsia" w:ascii="宋体" w:hAnsi="宋体" w:eastAsia="宋体" w:cs="宋体"/>
          <w:szCs w:val="21"/>
        </w:rPr>
        <w:t>研究者作为组织内部成员，通过长期参与教育合作项目的日常运作，深入记录组织运作细节，观察各方互动过程，分析行为背后的文化意涵</w:t>
      </w:r>
      <w:r>
        <w:rPr>
          <w:rFonts w:hint="eastAsia" w:ascii="宋体" w:hAnsi="宋体" w:eastAsia="宋体" w:cs="宋体"/>
          <w:szCs w:val="21"/>
          <w:lang w:eastAsia="zh-CN"/>
        </w:rPr>
        <w:t>。</w:t>
      </w:r>
      <w:r>
        <w:rPr>
          <w:rFonts w:hint="eastAsia" w:ascii="宋体" w:hAnsi="宋体" w:eastAsia="宋体" w:cs="宋体"/>
          <w:szCs w:val="21"/>
          <w:lang w:val="en-US" w:eastAsia="zh-CN"/>
        </w:rPr>
        <w:t>同时，为了丰富对这一复杂过程的充分理解，对参与此过程的成员进行深度访谈，与参与观察的材料形成互补。此外</w:t>
      </w:r>
      <w:r>
        <w:rPr>
          <w:rFonts w:hint="eastAsia" w:ascii="宋体" w:hAnsi="宋体" w:eastAsia="宋体" w:cs="宋体"/>
          <w:szCs w:val="21"/>
        </w:rPr>
        <w:t>，为确保研究的客观性和可靠性，本研究采用多元数据交叉验证的方式，将参与观察所得与文献资料、政策文本进行对照分析，以期形成对教育规则衔接实践更为全面和深入的认识。</w:t>
      </w:r>
    </w:p>
    <w:p w14:paraId="0D55C960">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szCs w:val="21"/>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3"/>
        <w:gridCol w:w="1515"/>
      </w:tblGrid>
      <w:tr w14:paraId="31192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3" w:type="dxa"/>
          </w:tcPr>
          <w:p w14:paraId="1437E382">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被访人</w:t>
            </w:r>
          </w:p>
        </w:tc>
        <w:tc>
          <w:tcPr>
            <w:tcW w:w="1515" w:type="dxa"/>
          </w:tcPr>
          <w:p w14:paraId="1A8FE02D">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身份</w:t>
            </w:r>
          </w:p>
        </w:tc>
      </w:tr>
      <w:tr w14:paraId="4CF4E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3" w:type="dxa"/>
          </w:tcPr>
          <w:p w14:paraId="403C1DFD">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LJ</w:t>
            </w:r>
          </w:p>
        </w:tc>
        <w:tc>
          <w:tcPr>
            <w:tcW w:w="1515" w:type="dxa"/>
          </w:tcPr>
          <w:p w14:paraId="3815EDD6">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广东专家</w:t>
            </w:r>
          </w:p>
        </w:tc>
      </w:tr>
      <w:tr w14:paraId="5891B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3" w:type="dxa"/>
          </w:tcPr>
          <w:p w14:paraId="4F412FF9">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ZWY</w:t>
            </w:r>
          </w:p>
        </w:tc>
        <w:tc>
          <w:tcPr>
            <w:tcW w:w="1515" w:type="dxa"/>
          </w:tcPr>
          <w:p w14:paraId="09057135">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北京专家</w:t>
            </w:r>
          </w:p>
        </w:tc>
      </w:tr>
      <w:tr w14:paraId="499718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3" w:type="dxa"/>
          </w:tcPr>
          <w:p w14:paraId="58671953">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DYP</w:t>
            </w:r>
          </w:p>
        </w:tc>
        <w:tc>
          <w:tcPr>
            <w:tcW w:w="1515" w:type="dxa"/>
          </w:tcPr>
          <w:p w14:paraId="077D1356">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广东专家</w:t>
            </w:r>
          </w:p>
        </w:tc>
      </w:tr>
      <w:tr w14:paraId="5FB98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3" w:type="dxa"/>
          </w:tcPr>
          <w:p w14:paraId="3145A5B0">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ZXM</w:t>
            </w:r>
          </w:p>
        </w:tc>
        <w:tc>
          <w:tcPr>
            <w:tcW w:w="1515" w:type="dxa"/>
          </w:tcPr>
          <w:p w14:paraId="22E51D33">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香港专家</w:t>
            </w:r>
          </w:p>
        </w:tc>
      </w:tr>
      <w:tr w14:paraId="74767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3" w:type="dxa"/>
          </w:tcPr>
          <w:p w14:paraId="2E11753F">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YSJ</w:t>
            </w:r>
          </w:p>
        </w:tc>
        <w:tc>
          <w:tcPr>
            <w:tcW w:w="1515" w:type="dxa"/>
          </w:tcPr>
          <w:p w14:paraId="1AF6F3CF">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default" w:ascii="宋体" w:hAnsi="宋体" w:eastAsia="宋体" w:cs="宋体"/>
                <w:szCs w:val="21"/>
                <w:vertAlign w:val="baseline"/>
                <w:lang w:val="en-US" w:eastAsia="zh-CN"/>
              </w:rPr>
            </w:pPr>
            <w:r>
              <w:rPr>
                <w:rFonts w:hint="eastAsia" w:ascii="宋体" w:hAnsi="宋体" w:eastAsia="宋体" w:cs="宋体"/>
                <w:szCs w:val="21"/>
                <w:vertAlign w:val="baseline"/>
                <w:lang w:val="en-US" w:eastAsia="zh-CN"/>
              </w:rPr>
              <w:t>香港专家</w:t>
            </w:r>
          </w:p>
        </w:tc>
      </w:tr>
      <w:tr w14:paraId="73A2E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3" w:type="dxa"/>
          </w:tcPr>
          <w:p w14:paraId="3CF1FCC9">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宋体" w:hAnsi="宋体" w:eastAsia="宋体" w:cs="宋体"/>
                <w:szCs w:val="21"/>
                <w:vertAlign w:val="baseline"/>
                <w:lang w:val="en-US" w:eastAsia="zh-CN"/>
              </w:rPr>
            </w:pPr>
          </w:p>
        </w:tc>
        <w:tc>
          <w:tcPr>
            <w:tcW w:w="1515" w:type="dxa"/>
          </w:tcPr>
          <w:p w14:paraId="6BAFE0ED">
            <w:pPr>
              <w:keepNext w:val="0"/>
              <w:keepLines w:val="0"/>
              <w:pageBreakBefore w:val="0"/>
              <w:widowControl/>
              <w:numPr>
                <w:ilvl w:val="0"/>
                <w:numId w:val="0"/>
              </w:numPr>
              <w:kinsoku/>
              <w:wordWrap/>
              <w:overflowPunct/>
              <w:topLinePunct w:val="0"/>
              <w:autoSpaceDE/>
              <w:autoSpaceDN/>
              <w:bidi w:val="0"/>
              <w:adjustRightInd/>
              <w:snapToGrid/>
              <w:jc w:val="center"/>
              <w:textAlignment w:val="auto"/>
              <w:rPr>
                <w:rFonts w:hint="eastAsia" w:ascii="宋体" w:hAnsi="宋体" w:eastAsia="宋体" w:cs="宋体"/>
                <w:szCs w:val="21"/>
                <w:vertAlign w:val="baseline"/>
                <w:lang w:val="en-US" w:eastAsia="zh-CN"/>
              </w:rPr>
            </w:pPr>
          </w:p>
        </w:tc>
      </w:tr>
    </w:tbl>
    <w:tbl>
      <w:tblPr>
        <w:tblStyle w:val="6"/>
        <w:tblpPr w:leftFromText="180" w:rightFromText="180" w:vertAnchor="text" w:horzAnchor="page" w:tblpX="4809" w:tblpY="-236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3"/>
        <w:gridCol w:w="4732"/>
      </w:tblGrid>
      <w:tr w14:paraId="6873B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3" w:type="dxa"/>
          </w:tcPr>
          <w:p w14:paraId="24AD2949">
            <w:pPr>
              <w:keepNext w:val="0"/>
              <w:keepLines w:val="0"/>
              <w:pageBreakBefore w:val="0"/>
              <w:widowControl w:val="0"/>
              <w:numPr>
                <w:ilvl w:val="-1"/>
                <w:numId w:val="0"/>
              </w:numPr>
              <w:kinsoku/>
              <w:wordWrap/>
              <w:overflowPunct/>
              <w:topLinePunct w:val="0"/>
              <w:autoSpaceDE/>
              <w:autoSpaceDN/>
              <w:bidi w:val="0"/>
              <w:adjustRightInd/>
              <w:snapToGrid/>
              <w:jc w:val="both"/>
              <w:textAlignment w:val="auto"/>
              <w:outlineLvl w:val="0"/>
              <w:rPr>
                <w:rFonts w:hint="default" w:ascii="宋体" w:hAnsi="宋体" w:eastAsia="宋体" w:cs="宋体"/>
                <w:b w:val="0"/>
                <w:bCs w:val="0"/>
                <w:i w:val="0"/>
                <w:iCs w:val="0"/>
                <w:caps w:val="0"/>
                <w:spacing w:val="0"/>
                <w:sz w:val="21"/>
                <w:szCs w:val="21"/>
                <w:shd w:val="clear" w:fill="FFFFFF"/>
                <w:vertAlign w:val="baseline"/>
                <w:lang w:val="en-US" w:eastAsia="zh-CN"/>
              </w:rPr>
            </w:pPr>
            <w:r>
              <w:rPr>
                <w:rFonts w:hint="eastAsia" w:ascii="宋体" w:hAnsi="宋体" w:eastAsia="宋体" w:cs="宋体"/>
                <w:b w:val="0"/>
                <w:bCs w:val="0"/>
                <w:i w:val="0"/>
                <w:iCs w:val="0"/>
                <w:caps w:val="0"/>
                <w:spacing w:val="0"/>
                <w:sz w:val="21"/>
                <w:szCs w:val="21"/>
                <w:shd w:val="clear" w:fill="FFFFFF"/>
                <w:vertAlign w:val="baseline"/>
                <w:lang w:val="en-US" w:eastAsia="zh-CN"/>
              </w:rPr>
              <w:t>序号</w:t>
            </w:r>
          </w:p>
        </w:tc>
        <w:tc>
          <w:tcPr>
            <w:tcW w:w="4732" w:type="dxa"/>
          </w:tcPr>
          <w:p w14:paraId="0687AA8C">
            <w:pPr>
              <w:keepNext w:val="0"/>
              <w:keepLines w:val="0"/>
              <w:pageBreakBefore w:val="0"/>
              <w:widowControl w:val="0"/>
              <w:numPr>
                <w:ilvl w:val="-1"/>
                <w:numId w:val="0"/>
              </w:numPr>
              <w:kinsoku/>
              <w:wordWrap/>
              <w:overflowPunct/>
              <w:topLinePunct w:val="0"/>
              <w:autoSpaceDE/>
              <w:autoSpaceDN/>
              <w:bidi w:val="0"/>
              <w:adjustRightInd/>
              <w:snapToGrid/>
              <w:jc w:val="both"/>
              <w:textAlignment w:val="auto"/>
              <w:outlineLvl w:val="0"/>
              <w:rPr>
                <w:rFonts w:hint="default" w:ascii="宋体" w:hAnsi="宋体" w:eastAsia="宋体" w:cs="宋体"/>
                <w:b w:val="0"/>
                <w:bCs w:val="0"/>
                <w:i w:val="0"/>
                <w:iCs w:val="0"/>
                <w:caps w:val="0"/>
                <w:spacing w:val="0"/>
                <w:sz w:val="21"/>
                <w:szCs w:val="21"/>
                <w:shd w:val="clear" w:fill="FFFFFF"/>
                <w:vertAlign w:val="baseline"/>
                <w:lang w:val="en-US" w:eastAsia="zh-CN"/>
              </w:rPr>
            </w:pPr>
            <w:r>
              <w:rPr>
                <w:rFonts w:hint="eastAsia" w:ascii="宋体" w:hAnsi="宋体" w:eastAsia="宋体" w:cs="宋体"/>
                <w:b w:val="0"/>
                <w:bCs w:val="0"/>
                <w:i w:val="0"/>
                <w:iCs w:val="0"/>
                <w:caps w:val="0"/>
                <w:spacing w:val="0"/>
                <w:sz w:val="21"/>
                <w:szCs w:val="21"/>
                <w:shd w:val="clear" w:fill="FFFFFF"/>
                <w:vertAlign w:val="baseline"/>
                <w:lang w:val="en-US" w:eastAsia="zh-CN"/>
              </w:rPr>
              <w:t>文件名称</w:t>
            </w:r>
          </w:p>
        </w:tc>
      </w:tr>
      <w:tr w14:paraId="1914A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3" w:type="dxa"/>
          </w:tcPr>
          <w:p w14:paraId="0195FC25">
            <w:pPr>
              <w:keepNext w:val="0"/>
              <w:keepLines w:val="0"/>
              <w:pageBreakBefore w:val="0"/>
              <w:widowControl w:val="0"/>
              <w:numPr>
                <w:ilvl w:val="-1"/>
                <w:numId w:val="0"/>
              </w:numPr>
              <w:kinsoku/>
              <w:wordWrap/>
              <w:overflowPunct/>
              <w:topLinePunct w:val="0"/>
              <w:autoSpaceDE/>
              <w:autoSpaceDN/>
              <w:bidi w:val="0"/>
              <w:adjustRightInd/>
              <w:snapToGrid/>
              <w:jc w:val="both"/>
              <w:textAlignment w:val="auto"/>
              <w:outlineLvl w:val="0"/>
              <w:rPr>
                <w:rFonts w:hint="default" w:ascii="宋体" w:hAnsi="宋体" w:eastAsia="宋体" w:cs="宋体"/>
                <w:b w:val="0"/>
                <w:bCs w:val="0"/>
                <w:i w:val="0"/>
                <w:iCs w:val="0"/>
                <w:caps w:val="0"/>
                <w:spacing w:val="0"/>
                <w:sz w:val="21"/>
                <w:szCs w:val="21"/>
                <w:shd w:val="clear" w:fill="FFFFFF"/>
                <w:vertAlign w:val="baseline"/>
                <w:lang w:val="en-US" w:eastAsia="zh-CN"/>
              </w:rPr>
            </w:pPr>
            <w:r>
              <w:rPr>
                <w:rFonts w:hint="eastAsia" w:ascii="宋体" w:hAnsi="宋体" w:eastAsia="宋体" w:cs="宋体"/>
                <w:b w:val="0"/>
                <w:bCs w:val="0"/>
                <w:i w:val="0"/>
                <w:iCs w:val="0"/>
                <w:caps w:val="0"/>
                <w:spacing w:val="0"/>
                <w:sz w:val="21"/>
                <w:szCs w:val="21"/>
                <w:shd w:val="clear" w:fill="FFFFFF"/>
                <w:vertAlign w:val="baseline"/>
                <w:lang w:val="en-US" w:eastAsia="zh-CN"/>
              </w:rPr>
              <w:t>1</w:t>
            </w:r>
          </w:p>
        </w:tc>
        <w:tc>
          <w:tcPr>
            <w:tcW w:w="4732" w:type="dxa"/>
          </w:tcPr>
          <w:p w14:paraId="18E19FC9">
            <w:pPr>
              <w:keepNext w:val="0"/>
              <w:keepLines w:val="0"/>
              <w:pageBreakBefore w:val="0"/>
              <w:widowControl w:val="0"/>
              <w:numPr>
                <w:ilvl w:val="-1"/>
                <w:numId w:val="0"/>
              </w:numPr>
              <w:kinsoku/>
              <w:wordWrap/>
              <w:overflowPunct/>
              <w:topLinePunct w:val="0"/>
              <w:autoSpaceDE/>
              <w:autoSpaceDN/>
              <w:bidi w:val="0"/>
              <w:adjustRightInd/>
              <w:snapToGrid/>
              <w:jc w:val="both"/>
              <w:textAlignment w:val="auto"/>
              <w:outlineLvl w:val="0"/>
              <w:rPr>
                <w:rFonts w:hint="default" w:ascii="宋体" w:hAnsi="宋体" w:eastAsia="宋体" w:cs="宋体"/>
                <w:b w:val="0"/>
                <w:bCs w:val="0"/>
                <w:i w:val="0"/>
                <w:iCs w:val="0"/>
                <w:caps w:val="0"/>
                <w:spacing w:val="0"/>
                <w:sz w:val="21"/>
                <w:szCs w:val="21"/>
                <w:shd w:val="clear" w:fill="FFFFFF"/>
                <w:vertAlign w:val="baseline"/>
                <w:lang w:val="en-US" w:eastAsia="zh-CN"/>
              </w:rPr>
            </w:pPr>
            <w:r>
              <w:rPr>
                <w:rFonts w:hint="eastAsia" w:ascii="宋体" w:hAnsi="宋体" w:eastAsia="宋体" w:cs="宋体"/>
                <w:b w:val="0"/>
                <w:bCs w:val="0"/>
                <w:i w:val="0"/>
                <w:iCs w:val="0"/>
                <w:caps w:val="0"/>
                <w:spacing w:val="0"/>
                <w:sz w:val="21"/>
                <w:szCs w:val="21"/>
                <w:shd w:val="clear" w:fill="FFFFFF"/>
                <w:vertAlign w:val="baseline"/>
                <w:lang w:val="en-US" w:eastAsia="zh-CN"/>
              </w:rPr>
              <w:t>广东终身教育资历名册管理办法</w:t>
            </w:r>
          </w:p>
        </w:tc>
      </w:tr>
      <w:tr w14:paraId="77CF9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3" w:type="dxa"/>
          </w:tcPr>
          <w:p w14:paraId="7A4CD0DA">
            <w:pPr>
              <w:keepNext w:val="0"/>
              <w:keepLines w:val="0"/>
              <w:pageBreakBefore w:val="0"/>
              <w:widowControl w:val="0"/>
              <w:numPr>
                <w:ilvl w:val="-1"/>
                <w:numId w:val="0"/>
              </w:numPr>
              <w:kinsoku/>
              <w:wordWrap/>
              <w:overflowPunct/>
              <w:topLinePunct w:val="0"/>
              <w:autoSpaceDE/>
              <w:autoSpaceDN/>
              <w:bidi w:val="0"/>
              <w:adjustRightInd/>
              <w:snapToGrid/>
              <w:jc w:val="both"/>
              <w:textAlignment w:val="auto"/>
              <w:outlineLvl w:val="0"/>
              <w:rPr>
                <w:rFonts w:hint="default" w:ascii="宋体" w:hAnsi="宋体" w:eastAsia="宋体" w:cs="宋体"/>
                <w:b w:val="0"/>
                <w:bCs w:val="0"/>
                <w:i w:val="0"/>
                <w:iCs w:val="0"/>
                <w:caps w:val="0"/>
                <w:spacing w:val="0"/>
                <w:sz w:val="21"/>
                <w:szCs w:val="21"/>
                <w:shd w:val="clear" w:fill="FFFFFF"/>
                <w:vertAlign w:val="baseline"/>
                <w:lang w:val="en-US" w:eastAsia="zh-CN"/>
              </w:rPr>
            </w:pPr>
            <w:r>
              <w:rPr>
                <w:rFonts w:hint="eastAsia" w:ascii="宋体" w:hAnsi="宋体" w:eastAsia="宋体" w:cs="宋体"/>
                <w:b w:val="0"/>
                <w:bCs w:val="0"/>
                <w:i w:val="0"/>
                <w:iCs w:val="0"/>
                <w:caps w:val="0"/>
                <w:spacing w:val="0"/>
                <w:sz w:val="21"/>
                <w:szCs w:val="21"/>
                <w:shd w:val="clear" w:fill="FFFFFF"/>
                <w:vertAlign w:val="baseline"/>
                <w:lang w:val="en-US" w:eastAsia="zh-CN"/>
              </w:rPr>
              <w:t>2</w:t>
            </w:r>
          </w:p>
        </w:tc>
        <w:tc>
          <w:tcPr>
            <w:tcW w:w="4732" w:type="dxa"/>
          </w:tcPr>
          <w:p w14:paraId="01613EF9">
            <w:pPr>
              <w:keepNext w:val="0"/>
              <w:keepLines w:val="0"/>
              <w:pageBreakBefore w:val="0"/>
              <w:widowControl w:val="0"/>
              <w:numPr>
                <w:ilvl w:val="-1"/>
                <w:numId w:val="0"/>
              </w:numPr>
              <w:kinsoku/>
              <w:wordWrap/>
              <w:overflowPunct/>
              <w:topLinePunct w:val="0"/>
              <w:autoSpaceDE/>
              <w:autoSpaceDN/>
              <w:bidi w:val="0"/>
              <w:adjustRightInd/>
              <w:snapToGrid/>
              <w:jc w:val="both"/>
              <w:textAlignment w:val="auto"/>
              <w:outlineLvl w:val="0"/>
              <w:rPr>
                <w:rFonts w:hint="default" w:ascii="宋体" w:hAnsi="宋体" w:eastAsia="宋体" w:cs="宋体"/>
                <w:b w:val="0"/>
                <w:bCs w:val="0"/>
                <w:i w:val="0"/>
                <w:iCs w:val="0"/>
                <w:caps w:val="0"/>
                <w:spacing w:val="0"/>
                <w:sz w:val="21"/>
                <w:szCs w:val="21"/>
                <w:shd w:val="clear" w:fill="FFFFFF"/>
                <w:vertAlign w:val="baseline"/>
                <w:lang w:val="en-US" w:eastAsia="zh-CN"/>
              </w:rPr>
            </w:pPr>
            <w:r>
              <w:rPr>
                <w:rFonts w:hint="eastAsia" w:ascii="宋体" w:hAnsi="宋体" w:eastAsia="宋体" w:cs="宋体"/>
                <w:b w:val="0"/>
                <w:bCs w:val="0"/>
                <w:i w:val="0"/>
                <w:iCs w:val="0"/>
                <w:caps w:val="0"/>
                <w:spacing w:val="0"/>
                <w:sz w:val="21"/>
                <w:szCs w:val="21"/>
                <w:shd w:val="clear" w:fill="FFFFFF"/>
                <w:vertAlign w:val="baseline"/>
                <w:lang w:val="en-US" w:eastAsia="zh-CN"/>
              </w:rPr>
              <w:t>广东终身教育资历框架等级标准</w:t>
            </w:r>
          </w:p>
        </w:tc>
      </w:tr>
      <w:tr w14:paraId="7647F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3" w:type="dxa"/>
          </w:tcPr>
          <w:p w14:paraId="720EBB41">
            <w:pPr>
              <w:keepNext w:val="0"/>
              <w:keepLines w:val="0"/>
              <w:pageBreakBefore w:val="0"/>
              <w:widowControl w:val="0"/>
              <w:numPr>
                <w:ilvl w:val="-1"/>
                <w:numId w:val="0"/>
              </w:numPr>
              <w:kinsoku/>
              <w:wordWrap/>
              <w:overflowPunct/>
              <w:topLinePunct w:val="0"/>
              <w:autoSpaceDE/>
              <w:autoSpaceDN/>
              <w:bidi w:val="0"/>
              <w:adjustRightInd/>
              <w:snapToGrid/>
              <w:jc w:val="both"/>
              <w:textAlignment w:val="auto"/>
              <w:outlineLvl w:val="0"/>
              <w:rPr>
                <w:rFonts w:hint="default" w:ascii="宋体" w:hAnsi="宋体" w:eastAsia="宋体" w:cs="宋体"/>
                <w:b w:val="0"/>
                <w:bCs w:val="0"/>
                <w:i w:val="0"/>
                <w:iCs w:val="0"/>
                <w:caps w:val="0"/>
                <w:spacing w:val="0"/>
                <w:sz w:val="21"/>
                <w:szCs w:val="21"/>
                <w:shd w:val="clear" w:fill="FFFFFF"/>
                <w:vertAlign w:val="baseline"/>
                <w:lang w:val="en-US" w:eastAsia="zh-CN"/>
              </w:rPr>
            </w:pPr>
            <w:r>
              <w:rPr>
                <w:rFonts w:hint="eastAsia" w:ascii="宋体" w:hAnsi="宋体" w:eastAsia="宋体" w:cs="宋体"/>
                <w:b w:val="0"/>
                <w:bCs w:val="0"/>
                <w:i w:val="0"/>
                <w:iCs w:val="0"/>
                <w:caps w:val="0"/>
                <w:spacing w:val="0"/>
                <w:sz w:val="21"/>
                <w:szCs w:val="21"/>
                <w:shd w:val="clear" w:fill="FFFFFF"/>
                <w:vertAlign w:val="baseline"/>
                <w:lang w:val="en-US" w:eastAsia="zh-CN"/>
              </w:rPr>
              <w:t>3</w:t>
            </w:r>
          </w:p>
        </w:tc>
        <w:tc>
          <w:tcPr>
            <w:tcW w:w="4732" w:type="dxa"/>
          </w:tcPr>
          <w:p w14:paraId="4CFD0622">
            <w:pPr>
              <w:keepNext w:val="0"/>
              <w:keepLines w:val="0"/>
              <w:pageBreakBefore w:val="0"/>
              <w:widowControl w:val="0"/>
              <w:numPr>
                <w:ilvl w:val="-1"/>
                <w:numId w:val="0"/>
              </w:numPr>
              <w:kinsoku/>
              <w:wordWrap/>
              <w:overflowPunct/>
              <w:topLinePunct w:val="0"/>
              <w:autoSpaceDE/>
              <w:autoSpaceDN/>
              <w:bidi w:val="0"/>
              <w:adjustRightInd/>
              <w:snapToGrid/>
              <w:jc w:val="both"/>
              <w:textAlignment w:val="auto"/>
              <w:outlineLvl w:val="0"/>
              <w:rPr>
                <w:rFonts w:hint="default" w:ascii="宋体" w:hAnsi="宋体" w:eastAsia="宋体" w:cs="宋体"/>
                <w:b w:val="0"/>
                <w:bCs w:val="0"/>
                <w:i w:val="0"/>
                <w:iCs w:val="0"/>
                <w:caps w:val="0"/>
                <w:spacing w:val="0"/>
                <w:sz w:val="21"/>
                <w:szCs w:val="21"/>
                <w:shd w:val="clear" w:fill="FFFFFF"/>
                <w:vertAlign w:val="baseline"/>
                <w:lang w:val="en-US" w:eastAsia="zh-CN"/>
              </w:rPr>
            </w:pPr>
            <w:r>
              <w:rPr>
                <w:rFonts w:hint="eastAsia" w:ascii="宋体" w:hAnsi="宋体" w:eastAsia="宋体" w:cs="宋体"/>
                <w:b w:val="0"/>
                <w:bCs w:val="0"/>
                <w:i w:val="0"/>
                <w:iCs w:val="0"/>
                <w:caps w:val="0"/>
                <w:spacing w:val="0"/>
                <w:sz w:val="21"/>
                <w:szCs w:val="21"/>
                <w:shd w:val="clear" w:fill="FFFFFF"/>
                <w:vertAlign w:val="baseline"/>
                <w:lang w:val="en-US" w:eastAsia="zh-CN"/>
              </w:rPr>
              <w:t>广东资历框架下的质量保障机制系列文件</w:t>
            </w:r>
          </w:p>
        </w:tc>
      </w:tr>
      <w:tr w14:paraId="08EB29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3" w:type="dxa"/>
          </w:tcPr>
          <w:p w14:paraId="0D2FCD5C">
            <w:pPr>
              <w:keepNext w:val="0"/>
              <w:keepLines w:val="0"/>
              <w:pageBreakBefore w:val="0"/>
              <w:widowControl w:val="0"/>
              <w:numPr>
                <w:ilvl w:val="-1"/>
                <w:numId w:val="0"/>
              </w:numPr>
              <w:kinsoku/>
              <w:wordWrap/>
              <w:overflowPunct/>
              <w:topLinePunct w:val="0"/>
              <w:autoSpaceDE/>
              <w:autoSpaceDN/>
              <w:bidi w:val="0"/>
              <w:adjustRightInd/>
              <w:snapToGrid/>
              <w:jc w:val="both"/>
              <w:textAlignment w:val="auto"/>
              <w:outlineLvl w:val="0"/>
              <w:rPr>
                <w:rFonts w:hint="default" w:ascii="宋体" w:hAnsi="宋体" w:eastAsia="宋体" w:cs="宋体"/>
                <w:b w:val="0"/>
                <w:bCs w:val="0"/>
                <w:i w:val="0"/>
                <w:iCs w:val="0"/>
                <w:caps w:val="0"/>
                <w:spacing w:val="0"/>
                <w:sz w:val="21"/>
                <w:szCs w:val="21"/>
                <w:shd w:val="clear" w:fill="FFFFFF"/>
                <w:vertAlign w:val="baseline"/>
                <w:lang w:val="en-US" w:eastAsia="zh-CN"/>
              </w:rPr>
            </w:pPr>
            <w:r>
              <w:rPr>
                <w:rFonts w:hint="eastAsia" w:ascii="宋体" w:hAnsi="宋体" w:eastAsia="宋体" w:cs="宋体"/>
                <w:b w:val="0"/>
                <w:bCs w:val="0"/>
                <w:i w:val="0"/>
                <w:iCs w:val="0"/>
                <w:caps w:val="0"/>
                <w:spacing w:val="0"/>
                <w:sz w:val="21"/>
                <w:szCs w:val="21"/>
                <w:shd w:val="clear" w:fill="FFFFFF"/>
                <w:vertAlign w:val="baseline"/>
                <w:lang w:val="en-US" w:eastAsia="zh-CN"/>
              </w:rPr>
              <w:t>4</w:t>
            </w:r>
          </w:p>
        </w:tc>
        <w:tc>
          <w:tcPr>
            <w:tcW w:w="4732" w:type="dxa"/>
          </w:tcPr>
          <w:p w14:paraId="3E4C8CA9">
            <w:pPr>
              <w:keepNext w:val="0"/>
              <w:keepLines w:val="0"/>
              <w:pageBreakBefore w:val="0"/>
              <w:widowControl w:val="0"/>
              <w:numPr>
                <w:ilvl w:val="-1"/>
                <w:numId w:val="0"/>
              </w:numPr>
              <w:kinsoku/>
              <w:wordWrap/>
              <w:overflowPunct/>
              <w:topLinePunct w:val="0"/>
              <w:autoSpaceDE/>
              <w:autoSpaceDN/>
              <w:bidi w:val="0"/>
              <w:adjustRightInd/>
              <w:snapToGrid/>
              <w:jc w:val="both"/>
              <w:textAlignment w:val="auto"/>
              <w:outlineLvl w:val="0"/>
              <w:rPr>
                <w:rFonts w:hint="default" w:ascii="宋体" w:hAnsi="宋体" w:eastAsia="宋体" w:cs="宋体"/>
                <w:b w:val="0"/>
                <w:bCs w:val="0"/>
                <w:i w:val="0"/>
                <w:iCs w:val="0"/>
                <w:caps w:val="0"/>
                <w:spacing w:val="0"/>
                <w:sz w:val="21"/>
                <w:szCs w:val="21"/>
                <w:shd w:val="clear" w:fill="FFFFFF"/>
                <w:vertAlign w:val="baseline"/>
                <w:lang w:val="en-US" w:eastAsia="zh-CN"/>
              </w:rPr>
            </w:pPr>
            <w:r>
              <w:rPr>
                <w:rFonts w:hint="eastAsia" w:ascii="宋体" w:hAnsi="宋体" w:eastAsia="宋体" w:cs="宋体"/>
                <w:b w:val="0"/>
                <w:bCs w:val="0"/>
                <w:i w:val="0"/>
                <w:iCs w:val="0"/>
                <w:caps w:val="0"/>
                <w:spacing w:val="0"/>
                <w:sz w:val="21"/>
                <w:szCs w:val="21"/>
                <w:shd w:val="clear" w:fill="FFFFFF"/>
                <w:vertAlign w:val="baseline"/>
                <w:lang w:val="en-US" w:eastAsia="zh-CN"/>
              </w:rPr>
              <w:t>香港资历架构质量保障系列文件</w:t>
            </w:r>
          </w:p>
        </w:tc>
      </w:tr>
      <w:tr w14:paraId="781FF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3" w:type="dxa"/>
          </w:tcPr>
          <w:p w14:paraId="37ABAC4D">
            <w:pPr>
              <w:keepNext w:val="0"/>
              <w:keepLines w:val="0"/>
              <w:pageBreakBefore w:val="0"/>
              <w:widowControl w:val="0"/>
              <w:numPr>
                <w:ilvl w:val="-1"/>
                <w:numId w:val="0"/>
              </w:numPr>
              <w:kinsoku/>
              <w:wordWrap/>
              <w:overflowPunct/>
              <w:topLinePunct w:val="0"/>
              <w:autoSpaceDE/>
              <w:autoSpaceDN/>
              <w:bidi w:val="0"/>
              <w:adjustRightInd/>
              <w:snapToGrid/>
              <w:jc w:val="both"/>
              <w:textAlignment w:val="auto"/>
              <w:outlineLvl w:val="0"/>
              <w:rPr>
                <w:rFonts w:hint="default" w:ascii="宋体" w:hAnsi="宋体" w:eastAsia="宋体" w:cs="宋体"/>
                <w:b w:val="0"/>
                <w:bCs w:val="0"/>
                <w:i w:val="0"/>
                <w:iCs w:val="0"/>
                <w:caps w:val="0"/>
                <w:spacing w:val="0"/>
                <w:sz w:val="21"/>
                <w:szCs w:val="21"/>
                <w:shd w:val="clear" w:fill="FFFFFF"/>
                <w:vertAlign w:val="baseline"/>
                <w:lang w:val="en-US" w:eastAsia="zh-CN"/>
              </w:rPr>
            </w:pPr>
            <w:r>
              <w:rPr>
                <w:rFonts w:hint="eastAsia" w:ascii="宋体" w:hAnsi="宋体" w:eastAsia="宋体" w:cs="宋体"/>
                <w:b w:val="0"/>
                <w:bCs w:val="0"/>
                <w:i w:val="0"/>
                <w:iCs w:val="0"/>
                <w:caps w:val="0"/>
                <w:spacing w:val="0"/>
                <w:sz w:val="21"/>
                <w:szCs w:val="21"/>
                <w:shd w:val="clear" w:fill="FFFFFF"/>
                <w:vertAlign w:val="baseline"/>
                <w:lang w:val="en-US" w:eastAsia="zh-CN"/>
              </w:rPr>
              <w:t>5</w:t>
            </w:r>
          </w:p>
        </w:tc>
        <w:tc>
          <w:tcPr>
            <w:tcW w:w="4732" w:type="dxa"/>
          </w:tcPr>
          <w:p w14:paraId="5165D086">
            <w:pPr>
              <w:keepNext w:val="0"/>
              <w:keepLines w:val="0"/>
              <w:pageBreakBefore w:val="0"/>
              <w:widowControl w:val="0"/>
              <w:numPr>
                <w:ilvl w:val="-1"/>
                <w:numId w:val="0"/>
              </w:numPr>
              <w:kinsoku/>
              <w:wordWrap/>
              <w:overflowPunct/>
              <w:topLinePunct w:val="0"/>
              <w:autoSpaceDE/>
              <w:autoSpaceDN/>
              <w:bidi w:val="0"/>
              <w:adjustRightInd/>
              <w:snapToGrid/>
              <w:jc w:val="both"/>
              <w:textAlignment w:val="auto"/>
              <w:outlineLvl w:val="0"/>
              <w:rPr>
                <w:rFonts w:hint="default" w:ascii="宋体" w:hAnsi="宋体" w:eastAsia="宋体" w:cs="宋体"/>
                <w:b w:val="0"/>
                <w:bCs w:val="0"/>
                <w:i w:val="0"/>
                <w:iCs w:val="0"/>
                <w:caps w:val="0"/>
                <w:spacing w:val="0"/>
                <w:sz w:val="21"/>
                <w:szCs w:val="21"/>
                <w:shd w:val="clear" w:fill="FFFFFF"/>
                <w:vertAlign w:val="baseline"/>
                <w:lang w:val="en-US" w:eastAsia="zh-CN"/>
              </w:rPr>
            </w:pPr>
            <w:r>
              <w:rPr>
                <w:rFonts w:hint="eastAsia" w:ascii="宋体" w:hAnsi="宋体" w:eastAsia="宋体" w:cs="宋体"/>
                <w:b w:val="0"/>
                <w:bCs w:val="0"/>
                <w:i w:val="0"/>
                <w:iCs w:val="0"/>
                <w:caps w:val="0"/>
                <w:spacing w:val="0"/>
                <w:sz w:val="21"/>
                <w:szCs w:val="21"/>
                <w:shd w:val="clear" w:fill="FFFFFF"/>
                <w:vertAlign w:val="baseline"/>
                <w:lang w:val="en-US" w:eastAsia="zh-CN"/>
              </w:rPr>
              <w:t>香港通用级别指标</w:t>
            </w:r>
          </w:p>
        </w:tc>
      </w:tr>
      <w:tr w14:paraId="4D3AC5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3" w:type="dxa"/>
          </w:tcPr>
          <w:p w14:paraId="567F74B1">
            <w:pPr>
              <w:keepNext w:val="0"/>
              <w:keepLines w:val="0"/>
              <w:pageBreakBefore w:val="0"/>
              <w:widowControl w:val="0"/>
              <w:numPr>
                <w:ilvl w:val="-1"/>
                <w:numId w:val="0"/>
              </w:numPr>
              <w:kinsoku/>
              <w:wordWrap/>
              <w:overflowPunct/>
              <w:topLinePunct w:val="0"/>
              <w:autoSpaceDE/>
              <w:autoSpaceDN/>
              <w:bidi w:val="0"/>
              <w:adjustRightInd/>
              <w:snapToGrid/>
              <w:jc w:val="both"/>
              <w:textAlignment w:val="auto"/>
              <w:outlineLvl w:val="0"/>
              <w:rPr>
                <w:rFonts w:hint="eastAsia" w:ascii="宋体" w:hAnsi="宋体" w:eastAsia="宋体" w:cs="宋体"/>
                <w:b w:val="0"/>
                <w:bCs w:val="0"/>
                <w:i w:val="0"/>
                <w:iCs w:val="0"/>
                <w:caps w:val="0"/>
                <w:spacing w:val="0"/>
                <w:sz w:val="21"/>
                <w:szCs w:val="21"/>
                <w:shd w:val="clear" w:fill="FFFFFF"/>
                <w:vertAlign w:val="baseline"/>
                <w:lang w:val="en-US" w:eastAsia="zh-CN"/>
              </w:rPr>
            </w:pPr>
          </w:p>
        </w:tc>
        <w:tc>
          <w:tcPr>
            <w:tcW w:w="4732" w:type="dxa"/>
          </w:tcPr>
          <w:p w14:paraId="2A24388C">
            <w:pPr>
              <w:keepNext w:val="0"/>
              <w:keepLines w:val="0"/>
              <w:pageBreakBefore w:val="0"/>
              <w:widowControl w:val="0"/>
              <w:numPr>
                <w:ilvl w:val="-1"/>
                <w:numId w:val="0"/>
              </w:numPr>
              <w:kinsoku/>
              <w:wordWrap/>
              <w:overflowPunct/>
              <w:topLinePunct w:val="0"/>
              <w:autoSpaceDE/>
              <w:autoSpaceDN/>
              <w:bidi w:val="0"/>
              <w:adjustRightInd/>
              <w:snapToGrid/>
              <w:jc w:val="both"/>
              <w:textAlignment w:val="auto"/>
              <w:outlineLvl w:val="0"/>
              <w:rPr>
                <w:rFonts w:hint="eastAsia" w:ascii="宋体" w:hAnsi="宋体" w:eastAsia="宋体" w:cs="宋体"/>
                <w:b w:val="0"/>
                <w:bCs w:val="0"/>
                <w:i w:val="0"/>
                <w:iCs w:val="0"/>
                <w:caps w:val="0"/>
                <w:spacing w:val="0"/>
                <w:sz w:val="21"/>
                <w:szCs w:val="21"/>
                <w:shd w:val="clear" w:fill="FFFFFF"/>
                <w:vertAlign w:val="baseline"/>
                <w:lang w:val="en-US" w:eastAsia="zh-CN"/>
              </w:rPr>
            </w:pPr>
          </w:p>
        </w:tc>
      </w:tr>
      <w:tr w14:paraId="2DFDD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3" w:type="dxa"/>
          </w:tcPr>
          <w:p w14:paraId="61C27DD1">
            <w:pPr>
              <w:keepNext w:val="0"/>
              <w:keepLines w:val="0"/>
              <w:pageBreakBefore w:val="0"/>
              <w:widowControl w:val="0"/>
              <w:numPr>
                <w:ilvl w:val="-1"/>
                <w:numId w:val="0"/>
              </w:numPr>
              <w:kinsoku/>
              <w:wordWrap/>
              <w:overflowPunct/>
              <w:topLinePunct w:val="0"/>
              <w:autoSpaceDE/>
              <w:autoSpaceDN/>
              <w:bidi w:val="0"/>
              <w:adjustRightInd/>
              <w:snapToGrid/>
              <w:jc w:val="both"/>
              <w:textAlignment w:val="auto"/>
              <w:outlineLvl w:val="0"/>
              <w:rPr>
                <w:rFonts w:hint="eastAsia" w:ascii="宋体" w:hAnsi="宋体" w:eastAsia="宋体" w:cs="宋体"/>
                <w:b w:val="0"/>
                <w:bCs w:val="0"/>
                <w:i w:val="0"/>
                <w:iCs w:val="0"/>
                <w:caps w:val="0"/>
                <w:spacing w:val="0"/>
                <w:sz w:val="21"/>
                <w:szCs w:val="21"/>
                <w:shd w:val="clear" w:fill="FFFFFF"/>
                <w:vertAlign w:val="baseline"/>
                <w:lang w:val="en-US" w:eastAsia="zh-CN"/>
              </w:rPr>
            </w:pPr>
          </w:p>
        </w:tc>
        <w:tc>
          <w:tcPr>
            <w:tcW w:w="4732" w:type="dxa"/>
          </w:tcPr>
          <w:p w14:paraId="08916843">
            <w:pPr>
              <w:keepNext w:val="0"/>
              <w:keepLines w:val="0"/>
              <w:pageBreakBefore w:val="0"/>
              <w:widowControl w:val="0"/>
              <w:numPr>
                <w:ilvl w:val="-1"/>
                <w:numId w:val="0"/>
              </w:numPr>
              <w:kinsoku/>
              <w:wordWrap/>
              <w:overflowPunct/>
              <w:topLinePunct w:val="0"/>
              <w:autoSpaceDE/>
              <w:autoSpaceDN/>
              <w:bidi w:val="0"/>
              <w:adjustRightInd/>
              <w:snapToGrid/>
              <w:jc w:val="both"/>
              <w:textAlignment w:val="auto"/>
              <w:outlineLvl w:val="0"/>
              <w:rPr>
                <w:rFonts w:hint="eastAsia" w:ascii="宋体" w:hAnsi="宋体" w:eastAsia="宋体" w:cs="宋体"/>
                <w:b w:val="0"/>
                <w:bCs w:val="0"/>
                <w:i w:val="0"/>
                <w:iCs w:val="0"/>
                <w:caps w:val="0"/>
                <w:spacing w:val="0"/>
                <w:sz w:val="21"/>
                <w:szCs w:val="21"/>
                <w:shd w:val="clear" w:fill="FFFFFF"/>
                <w:vertAlign w:val="baseline"/>
                <w:lang w:val="en-US" w:eastAsia="zh-CN"/>
              </w:rPr>
            </w:pPr>
          </w:p>
        </w:tc>
      </w:tr>
    </w:tbl>
    <w:p w14:paraId="19CAFB07">
      <w:pPr>
        <w:keepNext w:val="0"/>
        <w:keepLines w:val="0"/>
        <w:pageBreakBefore w:val="0"/>
        <w:widowControl/>
        <w:numPr>
          <w:ilvl w:val="0"/>
          <w:numId w:val="0"/>
        </w:numPr>
        <w:kinsoku/>
        <w:wordWrap/>
        <w:overflowPunct/>
        <w:topLinePunct w:val="0"/>
        <w:autoSpaceDE/>
        <w:autoSpaceDN/>
        <w:bidi w:val="0"/>
        <w:adjustRightInd/>
        <w:snapToGrid/>
        <w:ind w:firstLine="0" w:firstLineChars="0"/>
        <w:jc w:val="left"/>
        <w:textAlignment w:val="auto"/>
        <w:rPr>
          <w:rFonts w:hint="default" w:ascii="宋体" w:hAnsi="宋体" w:eastAsia="宋体" w:cs="宋体"/>
          <w:szCs w:val="21"/>
          <w:lang w:val="en-US" w:eastAsia="zh-CN"/>
        </w:rPr>
      </w:pPr>
    </w:p>
    <w:p w14:paraId="338FC130">
      <w:pPr>
        <w:keepNext w:val="0"/>
        <w:keepLines w:val="0"/>
        <w:pageBreakBefore w:val="0"/>
        <w:widowControl w:val="0"/>
        <w:kinsoku/>
        <w:wordWrap/>
        <w:overflowPunct/>
        <w:topLinePunct w:val="0"/>
        <w:autoSpaceDE/>
        <w:autoSpaceDN/>
        <w:bidi w:val="0"/>
        <w:adjustRightInd/>
        <w:snapToGrid/>
        <w:ind w:firstLine="422" w:firstLineChars="200"/>
        <w:jc w:val="both"/>
        <w:textAlignment w:val="auto"/>
        <w:outlineLvl w:val="0"/>
        <w:rPr>
          <w:rFonts w:hint="default" w:ascii="宋体" w:hAnsi="宋体" w:eastAsia="宋体" w:cs="宋体"/>
          <w:i w:val="0"/>
          <w:iCs w:val="0"/>
          <w:caps w:val="0"/>
          <w:spacing w:val="0"/>
          <w:sz w:val="21"/>
          <w:szCs w:val="21"/>
          <w:shd w:val="clear" w:fill="FFFFFF"/>
          <w:lang w:val="en-US" w:eastAsia="zh-CN"/>
        </w:rPr>
      </w:pPr>
      <w:r>
        <w:rPr>
          <w:rFonts w:hint="eastAsia" w:ascii="宋体" w:hAnsi="宋体" w:eastAsia="宋体" w:cs="宋体"/>
          <w:b/>
          <w:bCs/>
          <w:i w:val="0"/>
          <w:iCs w:val="0"/>
          <w:caps w:val="0"/>
          <w:spacing w:val="0"/>
          <w:sz w:val="21"/>
          <w:szCs w:val="21"/>
          <w:shd w:val="clear" w:fill="FFFFFF"/>
          <w:lang w:val="en-US" w:eastAsia="zh-CN"/>
        </w:rPr>
        <w:t>三、</w:t>
      </w:r>
      <w:r>
        <w:rPr>
          <w:rFonts w:hint="eastAsia"/>
          <w:b/>
          <w:bCs/>
          <w:sz w:val="21"/>
          <w:szCs w:val="21"/>
          <w:lang w:val="en-US" w:eastAsia="zh-CN"/>
        </w:rPr>
        <w:t>粤港资历框架协同治理的迭代过程</w:t>
      </w:r>
    </w:p>
    <w:p w14:paraId="4CE03EF0">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Change w:id="8" w:author="斯羽Kelinda" w:date="2025-01-08T16:54:59Z">
          <w:pPr>
            <w:keepNext w:val="0"/>
            <w:keepLines w:val="0"/>
            <w:pageBreakBefore w:val="0"/>
            <w:widowControl w:val="0"/>
            <w:numPr>
              <w:ilvl w:val="0"/>
              <w:numId w:val="0"/>
            </w:numPr>
            <w:kinsoku/>
            <w:wordWrap/>
            <w:overflowPunct/>
            <w:topLinePunct w:val="0"/>
            <w:autoSpaceDE/>
            <w:autoSpaceDN/>
            <w:bidi w:val="0"/>
            <w:adjustRightInd/>
            <w:snapToGrid/>
            <w:ind w:firstLine="420"/>
            <w:jc w:val="both"/>
            <w:textAlignment w:val="auto"/>
          </w:pPr>
        </w:pPrChange>
      </w:pPr>
      <w:r>
        <w:rPr>
          <w:rFonts w:hint="default"/>
          <w:lang w:val="en-US" w:eastAsia="zh-CN"/>
        </w:rPr>
        <w:t>协同治理是一个动态循环的迭代过程。基于Emerson提出的规则性参与、共享动机和协同能力三大核心要素，粤港资历框架的协同治理经历了从初步探索、深化发展到全面推进的发展历程。在这个过程中，粤港双方的合作不断深化，从早期的经验学习和交流研讨，发展到建立规范化合作机制，最终实现制度化的全面合作。</w:t>
      </w:r>
    </w:p>
    <w:p w14:paraId="32FBBE3F">
      <w:pPr>
        <w:keepNext w:val="0"/>
        <w:keepLines w:val="0"/>
        <w:pageBreakBefore w:val="0"/>
        <w:widowControl w:val="0"/>
        <w:numPr>
          <w:ilvl w:val="0"/>
          <w:numId w:val="0"/>
        </w:numPr>
        <w:kinsoku/>
        <w:wordWrap/>
        <w:overflowPunct/>
        <w:topLinePunct w:val="0"/>
        <w:autoSpaceDE/>
        <w:autoSpaceDN/>
        <w:bidi w:val="0"/>
        <w:adjustRightInd/>
        <w:snapToGrid/>
        <w:ind w:firstLine="420"/>
        <w:jc w:val="both"/>
        <w:textAlignment w:val="auto"/>
        <w:outlineLvl w:val="1"/>
        <w:rPr>
          <w:rFonts w:hint="default"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sz w:val="21"/>
          <w:szCs w:val="21"/>
          <w:shd w:val="clear" w:fill="FFFFFF"/>
          <w:lang w:val="en-US" w:eastAsia="zh-CN"/>
        </w:rPr>
        <w:t xml:space="preserve">（一）初步探索：规则性参与的基础构建  </w:t>
      </w:r>
    </w:p>
    <w:p w14:paraId="220B1EFD">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i w:val="0"/>
          <w:iCs w:val="0"/>
          <w:caps w:val="0"/>
          <w:spacing w:val="0"/>
          <w:sz w:val="21"/>
          <w:szCs w:val="21"/>
          <w:shd w:val="clear"/>
          <w:lang w:val="en-US" w:eastAsia="zh-CN"/>
        </w:rPr>
      </w:pPr>
      <w:r>
        <w:rPr>
          <w:rFonts w:hint="eastAsia" w:ascii="宋体" w:hAnsi="宋体" w:eastAsia="宋体" w:cs="宋体"/>
          <w:i w:val="0"/>
          <w:iCs w:val="0"/>
          <w:caps w:val="0"/>
          <w:spacing w:val="0"/>
          <w:sz w:val="21"/>
          <w:szCs w:val="21"/>
          <w:shd w:val="clear"/>
          <w:lang w:val="en-US" w:eastAsia="zh-CN"/>
        </w:rPr>
        <w:t>在政策环境和现实需求的驱动下，粤港启动了围绕资历框架的初步合作探索。对广东省而言，资历框架是一个全新的概念，“学分银行建设起来后，我们通过研究意识到资历框架具有很重要的作用，但我们没有相关的经验，于是开始学习近邻香港。”</w:t>
      </w:r>
      <w:ins w:id="9" w:author="斯羽Kelinda" w:date="2025-01-13T11:35:07Z">
        <w:r>
          <w:rPr>
            <w:rFonts w:hint="eastAsia" w:ascii="宋体" w:hAnsi="宋体" w:eastAsia="宋体" w:cs="宋体"/>
            <w:i w:val="0"/>
            <w:iCs w:val="0"/>
            <w:caps w:val="0"/>
            <w:spacing w:val="0"/>
            <w:sz w:val="21"/>
            <w:szCs w:val="21"/>
            <w:shd w:val="clear"/>
            <w:lang w:val="en-US" w:eastAsia="zh-CN"/>
          </w:rPr>
          <w:t>实际上，当时跟香港合作的不止有广东，国家开放大学也与香港有着密切的合作，但是广东确实走出了一条适合推广为国家的道路。（张伟远）</w:t>
        </w:r>
      </w:ins>
      <w:r>
        <w:rPr>
          <w:rFonts w:hint="eastAsia" w:ascii="宋体" w:hAnsi="宋体" w:eastAsia="宋体" w:cs="宋体"/>
          <w:i w:val="0"/>
          <w:iCs w:val="0"/>
          <w:caps w:val="0"/>
          <w:spacing w:val="0"/>
          <w:sz w:val="21"/>
          <w:szCs w:val="21"/>
          <w:shd w:val="clear"/>
          <w:lang w:val="en-US" w:eastAsia="zh-CN"/>
        </w:rPr>
        <w:t>2015年3月，广东省教育厅、广东开放大学与省委政策研究室组成联合调查组，赴港考察学习香港资历架构的建设经验，开启了两地在终身教育领域的交流合作。自此，香港资历架构秘书处的工作人员全程参与了广东资历框架的研制过程。2016年4月17日，广东开放大学召开首次广东终身教育学习成果框架专家研讨会，邀请香港专家深度参与，共同探讨框架构建思路。2016年12月19日，广东开放大学牵头制定的我国首个终身教育资历框架等级标准成功通过地方标准审定，香港资历架构秘书处负责人参与了审定会议。</w:t>
      </w:r>
      <w:r>
        <w:rPr>
          <w:rFonts w:hint="eastAsia" w:ascii="宋体" w:hAnsi="宋体" w:eastAsia="宋体" w:cs="宋体"/>
          <w:i w:val="0"/>
          <w:iCs w:val="0"/>
          <w:caps w:val="0"/>
          <w:spacing w:val="0"/>
          <w:sz w:val="21"/>
          <w:szCs w:val="21"/>
          <w:shd w:val="clear" w:fill="auto"/>
        </w:rPr>
        <w:t>2017年3月发布《广东终身教育资历框架等级标准》，以地方标准的形式确立了资历框架的制度基础。</w:t>
      </w:r>
      <w:r>
        <w:rPr>
          <w:rFonts w:hint="eastAsia" w:ascii="宋体" w:hAnsi="宋体" w:eastAsia="宋体" w:cs="宋体"/>
          <w:i w:val="0"/>
          <w:iCs w:val="0"/>
          <w:caps w:val="0"/>
          <w:spacing w:val="0"/>
          <w:sz w:val="21"/>
          <w:szCs w:val="21"/>
          <w:shd w:val="clear"/>
          <w:lang w:val="en-US" w:eastAsia="zh-CN"/>
        </w:rPr>
        <w:t>广东资历框架是在充分吸收香港经验的基础上研制而成的，它的发布标志着粤港终身教育合作具备了制度化、规范化的条件。</w:t>
      </w:r>
    </w:p>
    <w:p w14:paraId="6F41CFFC">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i w:val="0"/>
          <w:iCs w:val="0"/>
          <w:caps w:val="0"/>
          <w:spacing w:val="0"/>
          <w:sz w:val="21"/>
          <w:szCs w:val="21"/>
          <w:shd w:val="clear"/>
          <w:lang w:val="en-US" w:eastAsia="zh-CN"/>
        </w:rPr>
      </w:pPr>
      <w:r>
        <w:rPr>
          <w:rFonts w:hint="eastAsia" w:ascii="宋体" w:hAnsi="宋体" w:eastAsia="宋体" w:cs="宋体"/>
          <w:i w:val="0"/>
          <w:iCs w:val="0"/>
          <w:caps w:val="0"/>
          <w:spacing w:val="0"/>
          <w:sz w:val="21"/>
          <w:szCs w:val="21"/>
          <w:shd w:val="clear"/>
          <w:lang w:val="en-US" w:eastAsia="zh-CN"/>
        </w:rPr>
        <w:t>从框架设计来看，粤港两地的资历框架呈现出既有共性又有差异的特点。首先是级别设置方面，虽然两地均采用七级制，但仅4-7级实现完全匹配。在低层级对应关系上，广东将1级定位于小学学历水平，这一决定源于实地调研发现部分技师技工的学历水平仅为小学程度。广东的2级对应香港的1级，广东的3级则对应香港的2级，体现了框架设计对本地实际情况的深入考量。其次是描述维度的显著差异。香港采用了"知识及智能、过程、自主性及问责性、沟通、资讯及通讯科技及运算"等较为细致的维度划分。相比之下，广东借鉴欧盟经验，采用"知识、技能、能力"三维度标准，这一简约而实用的设计更契合广东庞大的教育和人力资源体系需求。在运行机制方面，两地也存在明显区别。香港通过立法确立资历框架的法律地位，并设立专门的第三方机构进行质量保障，形成了完善的质量保证体系。而广东则采取了更为灵活的路径，考虑到立法周期长等现实因素，选择以地方标准形式发布资历框架，并在后续推出了四个行业资历等级的团体标准，推动框架建设走向具体落地。</w:t>
      </w:r>
    </w:p>
    <w:p w14:paraId="40CE51CD">
      <w:pPr>
        <w:jc w:val="center"/>
        <w:rPr>
          <w:rFonts w:hint="eastAsia"/>
          <w:b/>
          <w:bCs/>
          <w:lang w:val="en-US" w:eastAsia="zh-CN"/>
        </w:rPr>
      </w:pPr>
      <w:r>
        <w:rPr>
          <w:rFonts w:hint="eastAsia"/>
          <w:b/>
          <w:bCs/>
          <w:lang w:val="en-US" w:eastAsia="zh-CN"/>
        </w:rPr>
        <w:t>表1 香港资历架构与广东资历框架对比</w: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1"/>
        <w:gridCol w:w="949"/>
        <w:gridCol w:w="2820"/>
        <w:gridCol w:w="1900"/>
        <w:gridCol w:w="1439"/>
      </w:tblGrid>
      <w:tr w14:paraId="60148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pct"/>
          </w:tcPr>
          <w:p w14:paraId="7ED7718D">
            <w:pPr>
              <w:rPr>
                <w:rFonts w:hint="eastAsia"/>
                <w:sz w:val="18"/>
                <w:szCs w:val="18"/>
                <w:vertAlign w:val="baseline"/>
                <w:lang w:val="en-US" w:eastAsia="zh-CN"/>
              </w:rPr>
            </w:pPr>
          </w:p>
        </w:tc>
        <w:tc>
          <w:tcPr>
            <w:tcW w:w="2212" w:type="pct"/>
            <w:gridSpan w:val="2"/>
          </w:tcPr>
          <w:p w14:paraId="0DC7CDDA">
            <w:pPr>
              <w:rPr>
                <w:rFonts w:hint="default"/>
                <w:sz w:val="18"/>
                <w:szCs w:val="18"/>
                <w:vertAlign w:val="baseline"/>
                <w:lang w:val="en-US" w:eastAsia="zh-CN"/>
              </w:rPr>
            </w:pPr>
            <w:r>
              <w:rPr>
                <w:rFonts w:hint="eastAsia"/>
                <w:sz w:val="18"/>
                <w:szCs w:val="18"/>
                <w:vertAlign w:val="baseline"/>
                <w:lang w:val="en-US" w:eastAsia="zh-CN"/>
              </w:rPr>
              <w:t>广东资历框架级别</w:t>
            </w:r>
          </w:p>
          <w:p w14:paraId="0913EF8C">
            <w:pPr>
              <w:rPr>
                <w:rFonts w:hint="default"/>
                <w:sz w:val="18"/>
                <w:szCs w:val="18"/>
                <w:vertAlign w:val="baseline"/>
                <w:lang w:val="en-US" w:eastAsia="zh-CN"/>
              </w:rPr>
            </w:pPr>
          </w:p>
        </w:tc>
        <w:tc>
          <w:tcPr>
            <w:tcW w:w="1959" w:type="pct"/>
            <w:gridSpan w:val="2"/>
          </w:tcPr>
          <w:p w14:paraId="717D51DC">
            <w:pPr>
              <w:rPr>
                <w:rFonts w:hint="default"/>
                <w:sz w:val="18"/>
                <w:szCs w:val="18"/>
                <w:vertAlign w:val="baseline"/>
                <w:lang w:val="en-US" w:eastAsia="zh-CN"/>
              </w:rPr>
            </w:pPr>
            <w:r>
              <w:rPr>
                <w:rFonts w:hint="eastAsia"/>
                <w:sz w:val="18"/>
                <w:szCs w:val="18"/>
                <w:vertAlign w:val="baseline"/>
                <w:lang w:val="en-US" w:eastAsia="zh-CN"/>
              </w:rPr>
              <w:t>香港资历架构级别</w:t>
            </w:r>
          </w:p>
          <w:p w14:paraId="5CFEFDFB">
            <w:pPr>
              <w:rPr>
                <w:rFonts w:hint="default"/>
                <w:sz w:val="18"/>
                <w:szCs w:val="18"/>
                <w:vertAlign w:val="baseline"/>
                <w:lang w:val="en-US" w:eastAsia="zh-CN"/>
              </w:rPr>
            </w:pPr>
          </w:p>
        </w:tc>
      </w:tr>
      <w:tr w14:paraId="6FC18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pct"/>
            <w:vMerge w:val="restart"/>
          </w:tcPr>
          <w:p w14:paraId="7CCA68FF">
            <w:pPr>
              <w:rPr>
                <w:rFonts w:hint="default"/>
                <w:sz w:val="18"/>
                <w:szCs w:val="18"/>
                <w:vertAlign w:val="baseline"/>
                <w:lang w:val="en-US" w:eastAsia="zh-CN"/>
              </w:rPr>
            </w:pPr>
            <w:r>
              <w:rPr>
                <w:rFonts w:hint="eastAsia"/>
                <w:sz w:val="18"/>
                <w:szCs w:val="18"/>
                <w:vertAlign w:val="baseline"/>
                <w:lang w:val="en-US" w:eastAsia="zh-CN"/>
              </w:rPr>
              <w:t>级别</w:t>
            </w:r>
          </w:p>
        </w:tc>
        <w:tc>
          <w:tcPr>
            <w:tcW w:w="557" w:type="pct"/>
          </w:tcPr>
          <w:p w14:paraId="60A8A970">
            <w:pPr>
              <w:rPr>
                <w:rFonts w:hint="default"/>
                <w:sz w:val="18"/>
                <w:szCs w:val="18"/>
                <w:vertAlign w:val="baseline"/>
                <w:lang w:val="en-US" w:eastAsia="zh-CN"/>
              </w:rPr>
            </w:pPr>
            <w:r>
              <w:rPr>
                <w:rFonts w:hint="eastAsia"/>
                <w:sz w:val="18"/>
                <w:szCs w:val="18"/>
                <w:vertAlign w:val="baseline"/>
                <w:lang w:val="en-US" w:eastAsia="zh-CN"/>
              </w:rPr>
              <w:t>第7级</w:t>
            </w:r>
          </w:p>
        </w:tc>
        <w:tc>
          <w:tcPr>
            <w:tcW w:w="1655" w:type="pct"/>
          </w:tcPr>
          <w:p w14:paraId="5E219255">
            <w:pPr>
              <w:rPr>
                <w:rFonts w:hint="default"/>
                <w:sz w:val="18"/>
                <w:szCs w:val="18"/>
                <w:vertAlign w:val="baseline"/>
                <w:lang w:val="en-US" w:eastAsia="zh-CN"/>
              </w:rPr>
            </w:pPr>
            <w:r>
              <w:rPr>
                <w:rFonts w:hint="eastAsia"/>
                <w:sz w:val="18"/>
                <w:szCs w:val="18"/>
                <w:vertAlign w:val="baseline"/>
                <w:lang w:val="en-US" w:eastAsia="zh-CN"/>
              </w:rPr>
              <w:t>学术型博士/专业型博士</w:t>
            </w:r>
          </w:p>
        </w:tc>
        <w:tc>
          <w:tcPr>
            <w:tcW w:w="1115" w:type="pct"/>
            <w:shd w:val="clear" w:color="auto" w:fill="auto"/>
            <w:vAlign w:val="top"/>
          </w:tcPr>
          <w:p w14:paraId="230E88EA">
            <w:pPr>
              <w:rPr>
                <w:rFonts w:hint="default"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第7级</w:t>
            </w:r>
          </w:p>
        </w:tc>
        <w:tc>
          <w:tcPr>
            <w:tcW w:w="843" w:type="pct"/>
          </w:tcPr>
          <w:p w14:paraId="67ECB026">
            <w:pPr>
              <w:rPr>
                <w:rFonts w:hint="default"/>
                <w:sz w:val="18"/>
                <w:szCs w:val="18"/>
                <w:vertAlign w:val="baseline"/>
                <w:lang w:val="en-US" w:eastAsia="zh-CN"/>
              </w:rPr>
            </w:pPr>
            <w:r>
              <w:rPr>
                <w:rFonts w:hint="eastAsia"/>
                <w:sz w:val="18"/>
                <w:szCs w:val="18"/>
                <w:vertAlign w:val="baseline"/>
                <w:lang w:val="en-US" w:eastAsia="zh-CN"/>
              </w:rPr>
              <w:t>博士</w:t>
            </w:r>
          </w:p>
        </w:tc>
      </w:tr>
      <w:tr w14:paraId="1A5D4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pct"/>
            <w:vMerge w:val="continue"/>
          </w:tcPr>
          <w:p w14:paraId="520FB1EB">
            <w:pPr>
              <w:rPr>
                <w:rFonts w:hint="eastAsia"/>
                <w:sz w:val="18"/>
                <w:szCs w:val="18"/>
                <w:vertAlign w:val="baseline"/>
                <w:lang w:val="en-US" w:eastAsia="zh-CN"/>
              </w:rPr>
            </w:pPr>
          </w:p>
        </w:tc>
        <w:tc>
          <w:tcPr>
            <w:tcW w:w="557" w:type="pct"/>
          </w:tcPr>
          <w:p w14:paraId="1899CE4F">
            <w:pPr>
              <w:rPr>
                <w:rFonts w:hint="default"/>
                <w:sz w:val="18"/>
                <w:szCs w:val="18"/>
                <w:vertAlign w:val="baseline"/>
                <w:lang w:val="en-US" w:eastAsia="zh-CN"/>
              </w:rPr>
            </w:pPr>
            <w:r>
              <w:rPr>
                <w:rFonts w:hint="eastAsia"/>
                <w:sz w:val="18"/>
                <w:szCs w:val="18"/>
                <w:vertAlign w:val="baseline"/>
                <w:lang w:val="en-US" w:eastAsia="zh-CN"/>
              </w:rPr>
              <w:t>第6级</w:t>
            </w:r>
          </w:p>
        </w:tc>
        <w:tc>
          <w:tcPr>
            <w:tcW w:w="1655" w:type="pct"/>
          </w:tcPr>
          <w:p w14:paraId="76BA7F50">
            <w:pPr>
              <w:rPr>
                <w:rFonts w:hint="default"/>
                <w:sz w:val="18"/>
                <w:szCs w:val="18"/>
                <w:vertAlign w:val="baseline"/>
                <w:lang w:val="en-US" w:eastAsia="zh-CN"/>
              </w:rPr>
            </w:pPr>
            <w:r>
              <w:rPr>
                <w:rFonts w:hint="eastAsia"/>
                <w:sz w:val="18"/>
                <w:szCs w:val="18"/>
                <w:vertAlign w:val="baseline"/>
                <w:lang w:val="en-US" w:eastAsia="zh-CN"/>
              </w:rPr>
              <w:t>学术型硕士/专业型硕士</w:t>
            </w:r>
          </w:p>
        </w:tc>
        <w:tc>
          <w:tcPr>
            <w:tcW w:w="1115" w:type="pct"/>
            <w:shd w:val="clear" w:color="auto" w:fill="auto"/>
            <w:vAlign w:val="top"/>
          </w:tcPr>
          <w:p w14:paraId="3B2FED6F">
            <w:pPr>
              <w:rPr>
                <w:rFonts w:hint="default"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第6级</w:t>
            </w:r>
          </w:p>
        </w:tc>
        <w:tc>
          <w:tcPr>
            <w:tcW w:w="843" w:type="pct"/>
          </w:tcPr>
          <w:p w14:paraId="1CD17992">
            <w:pPr>
              <w:rPr>
                <w:rFonts w:hint="default"/>
                <w:sz w:val="18"/>
                <w:szCs w:val="18"/>
                <w:vertAlign w:val="baseline"/>
                <w:lang w:val="en-US" w:eastAsia="zh-CN"/>
              </w:rPr>
            </w:pPr>
          </w:p>
        </w:tc>
      </w:tr>
      <w:tr w14:paraId="789D8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pct"/>
            <w:vMerge w:val="continue"/>
          </w:tcPr>
          <w:p w14:paraId="1491FB22">
            <w:pPr>
              <w:rPr>
                <w:rFonts w:hint="eastAsia"/>
                <w:sz w:val="18"/>
                <w:szCs w:val="18"/>
                <w:vertAlign w:val="baseline"/>
                <w:lang w:val="en-US" w:eastAsia="zh-CN"/>
              </w:rPr>
            </w:pPr>
          </w:p>
        </w:tc>
        <w:tc>
          <w:tcPr>
            <w:tcW w:w="557" w:type="pct"/>
          </w:tcPr>
          <w:p w14:paraId="35C47F6A">
            <w:pPr>
              <w:rPr>
                <w:rFonts w:hint="default"/>
                <w:sz w:val="18"/>
                <w:szCs w:val="18"/>
                <w:vertAlign w:val="baseline"/>
                <w:lang w:val="en-US" w:eastAsia="zh-CN"/>
              </w:rPr>
            </w:pPr>
            <w:r>
              <w:rPr>
                <w:rFonts w:hint="eastAsia"/>
                <w:sz w:val="18"/>
                <w:szCs w:val="18"/>
                <w:vertAlign w:val="baseline"/>
                <w:lang w:val="en-US" w:eastAsia="zh-CN"/>
              </w:rPr>
              <w:t>第5级</w:t>
            </w:r>
          </w:p>
        </w:tc>
        <w:tc>
          <w:tcPr>
            <w:tcW w:w="1655" w:type="pct"/>
          </w:tcPr>
          <w:p w14:paraId="19621667">
            <w:pPr>
              <w:rPr>
                <w:rFonts w:hint="default"/>
                <w:sz w:val="18"/>
                <w:szCs w:val="18"/>
                <w:vertAlign w:val="baseline"/>
                <w:lang w:val="en-US" w:eastAsia="zh-CN"/>
              </w:rPr>
            </w:pPr>
            <w:r>
              <w:rPr>
                <w:rFonts w:hint="eastAsia"/>
                <w:sz w:val="18"/>
                <w:szCs w:val="18"/>
                <w:vertAlign w:val="baseline"/>
                <w:lang w:val="en-US" w:eastAsia="zh-CN"/>
              </w:rPr>
              <w:t>本科/应用本科/学士</w:t>
            </w:r>
          </w:p>
        </w:tc>
        <w:tc>
          <w:tcPr>
            <w:tcW w:w="1115" w:type="pct"/>
            <w:shd w:val="clear" w:color="auto" w:fill="auto"/>
            <w:vAlign w:val="top"/>
          </w:tcPr>
          <w:p w14:paraId="4268FC69">
            <w:pPr>
              <w:rPr>
                <w:rFonts w:hint="default"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第5级</w:t>
            </w:r>
          </w:p>
        </w:tc>
        <w:tc>
          <w:tcPr>
            <w:tcW w:w="843" w:type="pct"/>
          </w:tcPr>
          <w:p w14:paraId="0ED9C267">
            <w:pPr>
              <w:rPr>
                <w:rFonts w:hint="default"/>
                <w:sz w:val="18"/>
                <w:szCs w:val="18"/>
                <w:vertAlign w:val="baseline"/>
                <w:lang w:val="en-US" w:eastAsia="zh-CN"/>
              </w:rPr>
            </w:pPr>
          </w:p>
        </w:tc>
      </w:tr>
      <w:tr w14:paraId="1DB53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pct"/>
            <w:vMerge w:val="continue"/>
          </w:tcPr>
          <w:p w14:paraId="09066EB4">
            <w:pPr>
              <w:rPr>
                <w:rFonts w:hint="eastAsia"/>
                <w:sz w:val="18"/>
                <w:szCs w:val="18"/>
                <w:vertAlign w:val="baseline"/>
                <w:lang w:val="en-US" w:eastAsia="zh-CN"/>
              </w:rPr>
            </w:pPr>
          </w:p>
        </w:tc>
        <w:tc>
          <w:tcPr>
            <w:tcW w:w="557" w:type="pct"/>
          </w:tcPr>
          <w:p w14:paraId="4596B25A">
            <w:pPr>
              <w:rPr>
                <w:rFonts w:hint="default"/>
                <w:sz w:val="18"/>
                <w:szCs w:val="18"/>
                <w:vertAlign w:val="baseline"/>
                <w:lang w:val="en-US" w:eastAsia="zh-CN"/>
              </w:rPr>
            </w:pPr>
            <w:r>
              <w:rPr>
                <w:rFonts w:hint="eastAsia"/>
                <w:sz w:val="18"/>
                <w:szCs w:val="18"/>
                <w:vertAlign w:val="baseline"/>
                <w:lang w:val="en-US" w:eastAsia="zh-CN"/>
              </w:rPr>
              <w:t>第4级</w:t>
            </w:r>
          </w:p>
        </w:tc>
        <w:tc>
          <w:tcPr>
            <w:tcW w:w="1655" w:type="pct"/>
          </w:tcPr>
          <w:p w14:paraId="6EBAE5BF">
            <w:pPr>
              <w:rPr>
                <w:rFonts w:hint="default"/>
                <w:sz w:val="18"/>
                <w:szCs w:val="18"/>
                <w:vertAlign w:val="baseline"/>
                <w:lang w:val="en-US" w:eastAsia="zh-CN"/>
              </w:rPr>
            </w:pPr>
            <w:r>
              <w:rPr>
                <w:rFonts w:hint="eastAsia"/>
                <w:sz w:val="18"/>
                <w:szCs w:val="18"/>
                <w:vertAlign w:val="baseline"/>
                <w:lang w:val="en-US" w:eastAsia="zh-CN"/>
              </w:rPr>
              <w:t>专科/高职</w:t>
            </w:r>
          </w:p>
        </w:tc>
        <w:tc>
          <w:tcPr>
            <w:tcW w:w="1115" w:type="pct"/>
            <w:shd w:val="clear" w:color="auto" w:fill="auto"/>
            <w:vAlign w:val="top"/>
          </w:tcPr>
          <w:p w14:paraId="6FCDDEA2">
            <w:pPr>
              <w:rPr>
                <w:rFonts w:hint="default"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第4级</w:t>
            </w:r>
          </w:p>
        </w:tc>
        <w:tc>
          <w:tcPr>
            <w:tcW w:w="843" w:type="pct"/>
          </w:tcPr>
          <w:p w14:paraId="6BB611CB">
            <w:pPr>
              <w:rPr>
                <w:rFonts w:hint="default"/>
                <w:sz w:val="18"/>
                <w:szCs w:val="18"/>
                <w:vertAlign w:val="baseline"/>
                <w:lang w:val="en-US" w:eastAsia="zh-CN"/>
              </w:rPr>
            </w:pPr>
          </w:p>
        </w:tc>
      </w:tr>
      <w:tr w14:paraId="72E59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828" w:type="pct"/>
            <w:vMerge w:val="continue"/>
          </w:tcPr>
          <w:p w14:paraId="39E11C51">
            <w:pPr>
              <w:rPr>
                <w:rFonts w:hint="eastAsia"/>
                <w:sz w:val="18"/>
                <w:szCs w:val="18"/>
                <w:vertAlign w:val="baseline"/>
                <w:lang w:val="en-US" w:eastAsia="zh-CN"/>
              </w:rPr>
            </w:pPr>
          </w:p>
        </w:tc>
        <w:tc>
          <w:tcPr>
            <w:tcW w:w="557" w:type="pct"/>
            <w:vMerge w:val="restart"/>
          </w:tcPr>
          <w:p w14:paraId="3CE61E0A">
            <w:pPr>
              <w:rPr>
                <w:rFonts w:hint="default"/>
                <w:sz w:val="18"/>
                <w:szCs w:val="18"/>
                <w:vertAlign w:val="baseline"/>
                <w:lang w:val="en-US" w:eastAsia="zh-CN"/>
              </w:rPr>
            </w:pPr>
            <w:r>
              <w:rPr>
                <w:rFonts w:hint="eastAsia"/>
                <w:sz w:val="18"/>
                <w:szCs w:val="18"/>
                <w:vertAlign w:val="baseline"/>
                <w:lang w:val="en-US" w:eastAsia="zh-CN"/>
              </w:rPr>
              <w:t>第3级</w:t>
            </w:r>
          </w:p>
        </w:tc>
        <w:tc>
          <w:tcPr>
            <w:tcW w:w="1655" w:type="pct"/>
            <w:vMerge w:val="restart"/>
          </w:tcPr>
          <w:p w14:paraId="0BEF75D3">
            <w:pPr>
              <w:rPr>
                <w:rFonts w:hint="eastAsia"/>
                <w:sz w:val="18"/>
                <w:szCs w:val="18"/>
                <w:vertAlign w:val="baseline"/>
                <w:lang w:val="en-US" w:eastAsia="zh-CN"/>
              </w:rPr>
            </w:pPr>
            <w:r>
              <w:rPr>
                <w:rFonts w:hint="eastAsia"/>
                <w:sz w:val="18"/>
                <w:szCs w:val="18"/>
                <w:vertAlign w:val="baseline"/>
                <w:lang w:val="en-US" w:eastAsia="zh-CN"/>
              </w:rPr>
              <w:t>高中/中职/中技</w:t>
            </w:r>
          </w:p>
          <w:p w14:paraId="6DBA8978">
            <w:pPr>
              <w:rPr>
                <w:rFonts w:hint="default"/>
                <w:sz w:val="18"/>
                <w:szCs w:val="18"/>
                <w:vertAlign w:val="baseline"/>
                <w:lang w:val="en-US" w:eastAsia="zh-CN"/>
              </w:rPr>
            </w:pPr>
          </w:p>
        </w:tc>
        <w:tc>
          <w:tcPr>
            <w:tcW w:w="1115" w:type="pct"/>
            <w:shd w:val="clear" w:color="auto" w:fill="auto"/>
            <w:vAlign w:val="top"/>
          </w:tcPr>
          <w:p w14:paraId="08DEE07B">
            <w:pPr>
              <w:rPr>
                <w:rFonts w:hint="default"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第3级</w:t>
            </w:r>
          </w:p>
        </w:tc>
        <w:tc>
          <w:tcPr>
            <w:tcW w:w="843" w:type="pct"/>
          </w:tcPr>
          <w:p w14:paraId="4E6312BB">
            <w:pPr>
              <w:rPr>
                <w:rFonts w:hint="default"/>
                <w:sz w:val="18"/>
                <w:szCs w:val="18"/>
                <w:vertAlign w:val="baseline"/>
                <w:lang w:val="en-US" w:eastAsia="zh-CN"/>
              </w:rPr>
            </w:pPr>
          </w:p>
        </w:tc>
      </w:tr>
      <w:tr w14:paraId="5AB0A1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828" w:type="pct"/>
            <w:vMerge w:val="continue"/>
          </w:tcPr>
          <w:p w14:paraId="2D9DD746">
            <w:pPr>
              <w:rPr>
                <w:rFonts w:hint="eastAsia"/>
                <w:sz w:val="18"/>
                <w:szCs w:val="18"/>
                <w:vertAlign w:val="baseline"/>
                <w:lang w:val="en-US" w:eastAsia="zh-CN"/>
              </w:rPr>
            </w:pPr>
          </w:p>
        </w:tc>
        <w:tc>
          <w:tcPr>
            <w:tcW w:w="557" w:type="pct"/>
            <w:vMerge w:val="continue"/>
          </w:tcPr>
          <w:p w14:paraId="0FC5B7E1">
            <w:pPr>
              <w:rPr>
                <w:rFonts w:hint="eastAsia"/>
                <w:sz w:val="18"/>
                <w:szCs w:val="18"/>
                <w:vertAlign w:val="baseline"/>
                <w:lang w:val="en-US" w:eastAsia="zh-CN"/>
              </w:rPr>
            </w:pPr>
          </w:p>
        </w:tc>
        <w:tc>
          <w:tcPr>
            <w:tcW w:w="1655" w:type="pct"/>
            <w:vMerge w:val="continue"/>
          </w:tcPr>
          <w:p w14:paraId="3E0321ED">
            <w:pPr>
              <w:rPr>
                <w:rFonts w:hint="default"/>
                <w:sz w:val="18"/>
                <w:szCs w:val="18"/>
                <w:vertAlign w:val="baseline"/>
                <w:lang w:val="en-US" w:eastAsia="zh-CN"/>
              </w:rPr>
            </w:pPr>
          </w:p>
        </w:tc>
        <w:tc>
          <w:tcPr>
            <w:tcW w:w="1115" w:type="pct"/>
            <w:shd w:val="clear" w:color="auto" w:fill="auto"/>
            <w:vAlign w:val="top"/>
          </w:tcPr>
          <w:p w14:paraId="1EBE7AA4">
            <w:pPr>
              <w:rPr>
                <w:rFonts w:hint="default"/>
                <w:sz w:val="18"/>
                <w:szCs w:val="18"/>
                <w:vertAlign w:val="baseline"/>
                <w:lang w:val="en-US" w:eastAsia="zh-CN"/>
              </w:rPr>
            </w:pPr>
            <w:r>
              <w:rPr>
                <w:rFonts w:hint="eastAsia"/>
                <w:sz w:val="18"/>
                <w:szCs w:val="18"/>
                <w:vertAlign w:val="baseline"/>
                <w:lang w:val="en-US" w:eastAsia="zh-CN"/>
              </w:rPr>
              <w:t>第2级</w:t>
            </w:r>
          </w:p>
        </w:tc>
        <w:tc>
          <w:tcPr>
            <w:tcW w:w="843" w:type="pct"/>
          </w:tcPr>
          <w:p w14:paraId="0458E7E8">
            <w:pPr>
              <w:rPr>
                <w:rFonts w:hint="default"/>
                <w:sz w:val="18"/>
                <w:szCs w:val="18"/>
                <w:vertAlign w:val="baseline"/>
                <w:lang w:val="en-US" w:eastAsia="zh-CN"/>
              </w:rPr>
            </w:pPr>
          </w:p>
        </w:tc>
      </w:tr>
      <w:tr w14:paraId="77E750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pct"/>
            <w:vMerge w:val="continue"/>
          </w:tcPr>
          <w:p w14:paraId="2B3256D3">
            <w:pPr>
              <w:rPr>
                <w:rFonts w:hint="eastAsia"/>
                <w:sz w:val="18"/>
                <w:szCs w:val="18"/>
                <w:vertAlign w:val="baseline"/>
                <w:lang w:val="en-US" w:eastAsia="zh-CN"/>
              </w:rPr>
            </w:pPr>
          </w:p>
        </w:tc>
        <w:tc>
          <w:tcPr>
            <w:tcW w:w="557" w:type="pct"/>
          </w:tcPr>
          <w:p w14:paraId="5B0254B7">
            <w:pPr>
              <w:rPr>
                <w:rFonts w:hint="default"/>
                <w:sz w:val="18"/>
                <w:szCs w:val="18"/>
                <w:vertAlign w:val="baseline"/>
                <w:lang w:val="en-US" w:eastAsia="zh-CN"/>
              </w:rPr>
            </w:pPr>
            <w:r>
              <w:rPr>
                <w:rFonts w:hint="eastAsia"/>
                <w:sz w:val="18"/>
                <w:szCs w:val="18"/>
                <w:vertAlign w:val="baseline"/>
                <w:lang w:val="en-US" w:eastAsia="zh-CN"/>
              </w:rPr>
              <w:t>第2级</w:t>
            </w:r>
          </w:p>
        </w:tc>
        <w:tc>
          <w:tcPr>
            <w:tcW w:w="1655" w:type="pct"/>
          </w:tcPr>
          <w:p w14:paraId="28292733">
            <w:pPr>
              <w:rPr>
                <w:rFonts w:hint="default"/>
                <w:sz w:val="18"/>
                <w:szCs w:val="18"/>
                <w:vertAlign w:val="baseline"/>
                <w:lang w:val="en-US" w:eastAsia="zh-CN"/>
              </w:rPr>
            </w:pPr>
            <w:r>
              <w:rPr>
                <w:rFonts w:hint="eastAsia"/>
                <w:sz w:val="18"/>
                <w:szCs w:val="18"/>
                <w:vertAlign w:val="baseline"/>
                <w:lang w:val="en-US" w:eastAsia="zh-CN"/>
              </w:rPr>
              <w:t>初中</w:t>
            </w:r>
          </w:p>
        </w:tc>
        <w:tc>
          <w:tcPr>
            <w:tcW w:w="1115" w:type="pct"/>
            <w:shd w:val="clear" w:color="auto" w:fill="auto"/>
            <w:vAlign w:val="top"/>
          </w:tcPr>
          <w:p w14:paraId="0234D371">
            <w:pPr>
              <w:rPr>
                <w:rFonts w:hint="default"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第1级</w:t>
            </w:r>
          </w:p>
        </w:tc>
        <w:tc>
          <w:tcPr>
            <w:tcW w:w="843" w:type="pct"/>
          </w:tcPr>
          <w:p w14:paraId="5AA9489D">
            <w:pPr>
              <w:rPr>
                <w:rFonts w:hint="default"/>
                <w:sz w:val="18"/>
                <w:szCs w:val="18"/>
                <w:vertAlign w:val="baseline"/>
                <w:lang w:val="en-US" w:eastAsia="zh-CN"/>
              </w:rPr>
            </w:pPr>
          </w:p>
        </w:tc>
      </w:tr>
      <w:tr w14:paraId="75ED2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pct"/>
            <w:vMerge w:val="continue"/>
          </w:tcPr>
          <w:p w14:paraId="4D353913">
            <w:pPr>
              <w:rPr>
                <w:rFonts w:hint="eastAsia"/>
                <w:sz w:val="18"/>
                <w:szCs w:val="18"/>
                <w:vertAlign w:val="baseline"/>
                <w:lang w:val="en-US" w:eastAsia="zh-CN"/>
              </w:rPr>
            </w:pPr>
          </w:p>
        </w:tc>
        <w:tc>
          <w:tcPr>
            <w:tcW w:w="557" w:type="pct"/>
          </w:tcPr>
          <w:p w14:paraId="1C8F6233">
            <w:pPr>
              <w:rPr>
                <w:rFonts w:hint="default"/>
                <w:sz w:val="18"/>
                <w:szCs w:val="18"/>
                <w:vertAlign w:val="baseline"/>
                <w:lang w:val="en-US" w:eastAsia="zh-CN"/>
              </w:rPr>
            </w:pPr>
            <w:r>
              <w:rPr>
                <w:rFonts w:hint="eastAsia"/>
                <w:sz w:val="18"/>
                <w:szCs w:val="18"/>
                <w:vertAlign w:val="baseline"/>
                <w:lang w:val="en-US" w:eastAsia="zh-CN"/>
              </w:rPr>
              <w:t>第1级</w:t>
            </w:r>
          </w:p>
        </w:tc>
        <w:tc>
          <w:tcPr>
            <w:tcW w:w="1655" w:type="pct"/>
          </w:tcPr>
          <w:p w14:paraId="3E60F272">
            <w:pPr>
              <w:rPr>
                <w:rFonts w:hint="default"/>
                <w:sz w:val="18"/>
                <w:szCs w:val="18"/>
                <w:vertAlign w:val="baseline"/>
                <w:lang w:val="en-US" w:eastAsia="zh-CN"/>
              </w:rPr>
            </w:pPr>
            <w:r>
              <w:rPr>
                <w:rFonts w:hint="eastAsia"/>
                <w:sz w:val="18"/>
                <w:szCs w:val="18"/>
                <w:vertAlign w:val="baseline"/>
                <w:lang w:val="en-US" w:eastAsia="zh-CN"/>
              </w:rPr>
              <w:t>小学</w:t>
            </w:r>
          </w:p>
        </w:tc>
        <w:tc>
          <w:tcPr>
            <w:tcW w:w="1115" w:type="pct"/>
            <w:shd w:val="clear" w:color="auto" w:fill="auto"/>
            <w:vAlign w:val="top"/>
          </w:tcPr>
          <w:p w14:paraId="0A97F01E">
            <w:pPr>
              <w:rPr>
                <w:rFonts w:hint="default" w:asciiTheme="minorHAnsi" w:hAnsiTheme="minorHAnsi" w:eastAsiaTheme="minorEastAsia" w:cstheme="minorBidi"/>
                <w:kern w:val="2"/>
                <w:sz w:val="18"/>
                <w:szCs w:val="18"/>
                <w:vertAlign w:val="baseline"/>
                <w:lang w:val="en-US" w:eastAsia="zh-CN" w:bidi="ar-SA"/>
              </w:rPr>
            </w:pPr>
          </w:p>
        </w:tc>
        <w:tc>
          <w:tcPr>
            <w:tcW w:w="843" w:type="pct"/>
          </w:tcPr>
          <w:p w14:paraId="763B69BD">
            <w:pPr>
              <w:rPr>
                <w:rFonts w:hint="default"/>
                <w:sz w:val="18"/>
                <w:szCs w:val="18"/>
                <w:vertAlign w:val="baseline"/>
                <w:lang w:val="en-US" w:eastAsia="zh-CN"/>
              </w:rPr>
            </w:pPr>
          </w:p>
        </w:tc>
      </w:tr>
      <w:tr w14:paraId="0073A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pct"/>
          </w:tcPr>
          <w:p w14:paraId="184BA9B5">
            <w:pPr>
              <w:rPr>
                <w:rFonts w:hint="default"/>
                <w:sz w:val="18"/>
                <w:szCs w:val="18"/>
                <w:vertAlign w:val="baseline"/>
                <w:lang w:val="en-US" w:eastAsia="zh-CN"/>
              </w:rPr>
            </w:pPr>
            <w:r>
              <w:rPr>
                <w:rFonts w:hint="eastAsia"/>
                <w:sz w:val="18"/>
                <w:szCs w:val="18"/>
                <w:vertAlign w:val="baseline"/>
                <w:lang w:val="en-US" w:eastAsia="zh-CN"/>
              </w:rPr>
              <w:t>维度</w:t>
            </w:r>
          </w:p>
        </w:tc>
        <w:tc>
          <w:tcPr>
            <w:tcW w:w="2212" w:type="pct"/>
            <w:gridSpan w:val="2"/>
          </w:tcPr>
          <w:p w14:paraId="0F533452">
            <w:pPr>
              <w:numPr>
                <w:ilvl w:val="0"/>
                <w:numId w:val="4"/>
              </w:numPr>
              <w:ind w:left="420" w:leftChars="0" w:hanging="420" w:firstLineChars="0"/>
              <w:rPr>
                <w:rFonts w:hint="eastAsia"/>
                <w:sz w:val="18"/>
                <w:szCs w:val="18"/>
                <w:vertAlign w:val="baseline"/>
                <w:lang w:val="en-US" w:eastAsia="zh-CN"/>
              </w:rPr>
            </w:pPr>
            <w:r>
              <w:rPr>
                <w:rFonts w:hint="eastAsia"/>
                <w:sz w:val="18"/>
                <w:szCs w:val="18"/>
                <w:vertAlign w:val="baseline"/>
                <w:lang w:val="en-US" w:eastAsia="zh-CN"/>
              </w:rPr>
              <w:t>知识</w:t>
            </w:r>
          </w:p>
          <w:p w14:paraId="33EDA7E8">
            <w:pPr>
              <w:numPr>
                <w:ilvl w:val="0"/>
                <w:numId w:val="4"/>
              </w:numPr>
              <w:ind w:left="420" w:leftChars="0" w:hanging="420" w:firstLineChars="0"/>
              <w:rPr>
                <w:rFonts w:hint="eastAsia"/>
                <w:sz w:val="18"/>
                <w:szCs w:val="18"/>
                <w:vertAlign w:val="baseline"/>
                <w:lang w:val="en-US" w:eastAsia="zh-CN"/>
              </w:rPr>
            </w:pPr>
            <w:r>
              <w:rPr>
                <w:rFonts w:hint="eastAsia"/>
                <w:sz w:val="18"/>
                <w:szCs w:val="18"/>
                <w:vertAlign w:val="baseline"/>
                <w:lang w:val="en-US" w:eastAsia="zh-CN"/>
              </w:rPr>
              <w:t>技能</w:t>
            </w:r>
          </w:p>
          <w:p w14:paraId="08782A4D">
            <w:pPr>
              <w:numPr>
                <w:ilvl w:val="0"/>
                <w:numId w:val="4"/>
              </w:numPr>
              <w:ind w:left="420" w:leftChars="0" w:hanging="420" w:firstLineChars="0"/>
              <w:rPr>
                <w:rFonts w:hint="default"/>
                <w:sz w:val="18"/>
                <w:szCs w:val="18"/>
                <w:vertAlign w:val="baseline"/>
                <w:lang w:val="en-US" w:eastAsia="zh-CN"/>
              </w:rPr>
            </w:pPr>
            <w:r>
              <w:rPr>
                <w:rFonts w:hint="eastAsia"/>
                <w:sz w:val="18"/>
                <w:szCs w:val="18"/>
                <w:vertAlign w:val="baseline"/>
                <w:lang w:val="en-US" w:eastAsia="zh-CN"/>
              </w:rPr>
              <w:t>能力</w:t>
            </w:r>
          </w:p>
        </w:tc>
        <w:tc>
          <w:tcPr>
            <w:tcW w:w="1959" w:type="pct"/>
            <w:gridSpan w:val="2"/>
          </w:tcPr>
          <w:p w14:paraId="16FE99B9">
            <w:pPr>
              <w:numPr>
                <w:ilvl w:val="0"/>
                <w:numId w:val="4"/>
              </w:numPr>
              <w:ind w:left="420" w:leftChars="0" w:hanging="420" w:firstLineChars="0"/>
              <w:rPr>
                <w:rFonts w:hint="eastAsia"/>
                <w:sz w:val="18"/>
                <w:szCs w:val="18"/>
                <w:vertAlign w:val="baseline"/>
                <w:lang w:val="en-US" w:eastAsia="zh-CN"/>
              </w:rPr>
            </w:pPr>
            <w:r>
              <w:rPr>
                <w:rFonts w:hint="eastAsia"/>
                <w:sz w:val="18"/>
                <w:szCs w:val="18"/>
                <w:vertAlign w:val="baseline"/>
                <w:lang w:val="en-US" w:eastAsia="zh-CN"/>
              </w:rPr>
              <w:t>知识及智能</w:t>
            </w:r>
          </w:p>
          <w:p w14:paraId="155F1E09">
            <w:pPr>
              <w:numPr>
                <w:ilvl w:val="0"/>
                <w:numId w:val="4"/>
              </w:numPr>
              <w:ind w:left="420" w:leftChars="0" w:hanging="420" w:firstLineChars="0"/>
              <w:rPr>
                <w:rFonts w:hint="eastAsia"/>
                <w:sz w:val="18"/>
                <w:szCs w:val="18"/>
                <w:vertAlign w:val="baseline"/>
                <w:lang w:val="en-US" w:eastAsia="zh-CN"/>
              </w:rPr>
            </w:pPr>
            <w:r>
              <w:rPr>
                <w:rFonts w:hint="eastAsia"/>
                <w:sz w:val="18"/>
                <w:szCs w:val="18"/>
                <w:vertAlign w:val="baseline"/>
                <w:lang w:val="en-US" w:eastAsia="zh-CN"/>
              </w:rPr>
              <w:t>过程</w:t>
            </w:r>
          </w:p>
          <w:p w14:paraId="4960CB13">
            <w:pPr>
              <w:numPr>
                <w:ilvl w:val="0"/>
                <w:numId w:val="4"/>
              </w:numPr>
              <w:ind w:left="420" w:leftChars="0" w:hanging="420" w:firstLineChars="0"/>
              <w:rPr>
                <w:rFonts w:hint="default"/>
                <w:sz w:val="18"/>
                <w:szCs w:val="18"/>
                <w:vertAlign w:val="baseline"/>
                <w:lang w:val="en-US" w:eastAsia="zh-CN"/>
              </w:rPr>
            </w:pPr>
            <w:r>
              <w:rPr>
                <w:rFonts w:hint="eastAsia"/>
                <w:sz w:val="18"/>
                <w:szCs w:val="18"/>
                <w:vertAlign w:val="baseline"/>
                <w:lang w:val="en-US" w:eastAsia="zh-CN"/>
              </w:rPr>
              <w:t>自主性及问责性，沟通、资讯及通讯科技及运算</w:t>
            </w:r>
          </w:p>
        </w:tc>
      </w:tr>
      <w:tr w14:paraId="70EA2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pct"/>
          </w:tcPr>
          <w:p w14:paraId="0C1936F8">
            <w:pPr>
              <w:rPr>
                <w:rFonts w:hint="default"/>
                <w:sz w:val="18"/>
                <w:szCs w:val="18"/>
                <w:vertAlign w:val="baseline"/>
                <w:lang w:val="en-US" w:eastAsia="zh-CN"/>
              </w:rPr>
            </w:pPr>
            <w:r>
              <w:rPr>
                <w:rFonts w:hint="eastAsia"/>
                <w:sz w:val="18"/>
                <w:szCs w:val="18"/>
                <w:vertAlign w:val="baseline"/>
                <w:lang w:val="en-US" w:eastAsia="zh-CN"/>
              </w:rPr>
              <w:t>标准</w:t>
            </w:r>
          </w:p>
        </w:tc>
        <w:tc>
          <w:tcPr>
            <w:tcW w:w="2212" w:type="pct"/>
            <w:gridSpan w:val="2"/>
          </w:tcPr>
          <w:p w14:paraId="74A4FDFC">
            <w:pPr>
              <w:rPr>
                <w:rFonts w:hint="default"/>
                <w:sz w:val="18"/>
                <w:szCs w:val="18"/>
                <w:vertAlign w:val="baseline"/>
                <w:lang w:val="en-US" w:eastAsia="zh-CN"/>
              </w:rPr>
            </w:pPr>
            <w:r>
              <w:rPr>
                <w:rFonts w:hint="eastAsia"/>
                <w:sz w:val="18"/>
                <w:szCs w:val="18"/>
                <w:vertAlign w:val="baseline"/>
                <w:lang w:val="en-US" w:eastAsia="zh-CN"/>
              </w:rPr>
              <w:t>广东终身教育资历框架等级标准</w:t>
            </w:r>
          </w:p>
        </w:tc>
        <w:tc>
          <w:tcPr>
            <w:tcW w:w="1959" w:type="pct"/>
            <w:gridSpan w:val="2"/>
          </w:tcPr>
          <w:p w14:paraId="20EAD7C5">
            <w:pPr>
              <w:rPr>
                <w:rFonts w:hint="default"/>
                <w:sz w:val="18"/>
                <w:szCs w:val="18"/>
                <w:vertAlign w:val="baseline"/>
                <w:lang w:val="en-US" w:eastAsia="zh-CN"/>
              </w:rPr>
            </w:pPr>
            <w:r>
              <w:rPr>
                <w:rFonts w:hint="eastAsia"/>
                <w:sz w:val="18"/>
                <w:szCs w:val="18"/>
                <w:vertAlign w:val="baseline"/>
                <w:lang w:val="en-US" w:eastAsia="zh-CN"/>
              </w:rPr>
              <w:t>通用级别指标</w:t>
            </w:r>
          </w:p>
        </w:tc>
      </w:tr>
      <w:tr w14:paraId="5B30E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pct"/>
          </w:tcPr>
          <w:p w14:paraId="03691328">
            <w:pPr>
              <w:rPr>
                <w:rFonts w:hint="default"/>
                <w:sz w:val="18"/>
                <w:szCs w:val="18"/>
                <w:vertAlign w:val="baseline"/>
                <w:lang w:val="en-US" w:eastAsia="zh-CN"/>
              </w:rPr>
            </w:pPr>
            <w:r>
              <w:rPr>
                <w:rFonts w:hint="eastAsia"/>
                <w:sz w:val="18"/>
                <w:szCs w:val="18"/>
                <w:vertAlign w:val="baseline"/>
                <w:lang w:val="en-US" w:eastAsia="zh-CN"/>
              </w:rPr>
              <w:t>能力标准</w:t>
            </w:r>
          </w:p>
        </w:tc>
        <w:tc>
          <w:tcPr>
            <w:tcW w:w="2212" w:type="pct"/>
            <w:gridSpan w:val="2"/>
          </w:tcPr>
          <w:p w14:paraId="26FD66CB">
            <w:pPr>
              <w:rPr>
                <w:rFonts w:hint="default"/>
                <w:sz w:val="18"/>
                <w:szCs w:val="18"/>
                <w:vertAlign w:val="baseline"/>
                <w:lang w:val="en-US" w:eastAsia="zh-CN"/>
              </w:rPr>
            </w:pPr>
            <w:r>
              <w:rPr>
                <w:rFonts w:hint="eastAsia"/>
                <w:sz w:val="18"/>
                <w:szCs w:val="18"/>
                <w:vertAlign w:val="baseline"/>
                <w:lang w:val="en-US" w:eastAsia="zh-CN"/>
              </w:rPr>
              <w:t>4套行业资历等级标准</w:t>
            </w:r>
          </w:p>
        </w:tc>
        <w:tc>
          <w:tcPr>
            <w:tcW w:w="1959" w:type="pct"/>
            <w:gridSpan w:val="2"/>
          </w:tcPr>
          <w:p w14:paraId="6744A25A">
            <w:pPr>
              <w:rPr>
                <w:rFonts w:hint="default"/>
                <w:sz w:val="18"/>
                <w:szCs w:val="18"/>
                <w:vertAlign w:val="baseline"/>
                <w:lang w:val="en-US" w:eastAsia="zh-CN"/>
              </w:rPr>
            </w:pPr>
            <w:r>
              <w:rPr>
                <w:rFonts w:hint="eastAsia"/>
                <w:sz w:val="18"/>
                <w:szCs w:val="18"/>
                <w:vertAlign w:val="baseline"/>
                <w:lang w:val="en-US" w:eastAsia="zh-CN"/>
              </w:rPr>
              <w:t>23套能力标准</w:t>
            </w:r>
          </w:p>
        </w:tc>
      </w:tr>
      <w:tr w14:paraId="17370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pct"/>
          </w:tcPr>
          <w:p w14:paraId="071820D4">
            <w:pPr>
              <w:rPr>
                <w:rFonts w:hint="default"/>
                <w:sz w:val="18"/>
                <w:szCs w:val="18"/>
                <w:vertAlign w:val="baseline"/>
                <w:lang w:val="en-US" w:eastAsia="zh-CN"/>
              </w:rPr>
            </w:pPr>
            <w:r>
              <w:rPr>
                <w:rFonts w:hint="eastAsia"/>
                <w:sz w:val="18"/>
                <w:szCs w:val="18"/>
                <w:vertAlign w:val="baseline"/>
                <w:lang w:val="en-US" w:eastAsia="zh-CN"/>
              </w:rPr>
              <w:t>管理机构</w:t>
            </w:r>
          </w:p>
        </w:tc>
        <w:tc>
          <w:tcPr>
            <w:tcW w:w="2212" w:type="pct"/>
            <w:gridSpan w:val="2"/>
          </w:tcPr>
          <w:p w14:paraId="3A377532">
            <w:pPr>
              <w:rPr>
                <w:rFonts w:hint="eastAsia"/>
                <w:sz w:val="18"/>
                <w:szCs w:val="18"/>
                <w:vertAlign w:val="baseline"/>
                <w:lang w:val="en-US" w:eastAsia="zh-CN"/>
              </w:rPr>
            </w:pPr>
            <w:r>
              <w:rPr>
                <w:rFonts w:hint="eastAsia"/>
                <w:sz w:val="18"/>
                <w:szCs w:val="18"/>
                <w:vertAlign w:val="baseline"/>
                <w:lang w:val="en-US" w:eastAsia="zh-CN"/>
              </w:rPr>
              <w:t>广东省教育厅主管</w:t>
            </w:r>
          </w:p>
          <w:p w14:paraId="21FE634D">
            <w:pPr>
              <w:rPr>
                <w:rFonts w:hint="default"/>
                <w:sz w:val="18"/>
                <w:szCs w:val="18"/>
                <w:vertAlign w:val="baseline"/>
                <w:lang w:val="en-US" w:eastAsia="zh-CN"/>
              </w:rPr>
            </w:pPr>
            <w:r>
              <w:rPr>
                <w:rFonts w:hint="eastAsia"/>
                <w:sz w:val="18"/>
                <w:szCs w:val="18"/>
                <w:vertAlign w:val="baseline"/>
                <w:lang w:val="en-US" w:eastAsia="zh-CN"/>
              </w:rPr>
              <w:t>广东开放大学发布</w:t>
            </w:r>
          </w:p>
          <w:p w14:paraId="5FEBAE2F">
            <w:pPr>
              <w:rPr>
                <w:rFonts w:hint="default"/>
                <w:sz w:val="18"/>
                <w:szCs w:val="18"/>
                <w:vertAlign w:val="baseline"/>
                <w:lang w:val="en-US" w:eastAsia="zh-CN"/>
              </w:rPr>
            </w:pPr>
            <w:r>
              <w:rPr>
                <w:rFonts w:hint="eastAsia"/>
                <w:sz w:val="18"/>
                <w:szCs w:val="18"/>
                <w:vertAlign w:val="baseline"/>
                <w:lang w:val="en-US" w:eastAsia="zh-CN"/>
              </w:rPr>
              <w:t>广东终身教育学分银行执行</w:t>
            </w:r>
          </w:p>
        </w:tc>
        <w:tc>
          <w:tcPr>
            <w:tcW w:w="1959" w:type="pct"/>
            <w:gridSpan w:val="2"/>
          </w:tcPr>
          <w:p w14:paraId="0C867AA5">
            <w:pPr>
              <w:rPr>
                <w:rFonts w:hint="eastAsia"/>
                <w:sz w:val="18"/>
                <w:szCs w:val="18"/>
                <w:vertAlign w:val="baseline"/>
                <w:lang w:val="en-US" w:eastAsia="zh-CN"/>
              </w:rPr>
            </w:pPr>
            <w:r>
              <w:rPr>
                <w:rFonts w:hint="eastAsia"/>
                <w:sz w:val="18"/>
                <w:szCs w:val="18"/>
                <w:vertAlign w:val="baseline"/>
                <w:lang w:val="en-US" w:eastAsia="zh-CN"/>
              </w:rPr>
              <w:t>香港教育局主管</w:t>
            </w:r>
          </w:p>
          <w:p w14:paraId="1222B4E7">
            <w:pPr>
              <w:rPr>
                <w:rFonts w:hint="default"/>
                <w:sz w:val="18"/>
                <w:szCs w:val="18"/>
                <w:vertAlign w:val="baseline"/>
                <w:lang w:val="en-US" w:eastAsia="zh-CN"/>
              </w:rPr>
            </w:pPr>
            <w:r>
              <w:rPr>
                <w:rFonts w:hint="eastAsia"/>
                <w:sz w:val="18"/>
                <w:szCs w:val="18"/>
                <w:vertAlign w:val="baseline"/>
                <w:lang w:val="en-US" w:eastAsia="zh-CN"/>
              </w:rPr>
              <w:t>香港资历架构秘书处执行</w:t>
            </w:r>
          </w:p>
        </w:tc>
      </w:tr>
      <w:tr w14:paraId="0BF12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pct"/>
          </w:tcPr>
          <w:p w14:paraId="17665A07">
            <w:pPr>
              <w:rPr>
                <w:rFonts w:hint="default"/>
                <w:sz w:val="18"/>
                <w:szCs w:val="18"/>
                <w:vertAlign w:val="baseline"/>
                <w:lang w:val="en-US" w:eastAsia="zh-CN"/>
              </w:rPr>
            </w:pPr>
            <w:r>
              <w:rPr>
                <w:rFonts w:hint="eastAsia"/>
                <w:sz w:val="18"/>
                <w:szCs w:val="18"/>
                <w:vertAlign w:val="baseline"/>
                <w:lang w:val="en-US" w:eastAsia="zh-CN"/>
              </w:rPr>
              <w:t>咨询机构</w:t>
            </w:r>
          </w:p>
        </w:tc>
        <w:tc>
          <w:tcPr>
            <w:tcW w:w="2212" w:type="pct"/>
            <w:gridSpan w:val="2"/>
          </w:tcPr>
          <w:p w14:paraId="683CE31C">
            <w:pPr>
              <w:rPr>
                <w:rFonts w:hint="default"/>
                <w:sz w:val="18"/>
                <w:szCs w:val="18"/>
                <w:vertAlign w:val="baseline"/>
                <w:lang w:val="en-US" w:eastAsia="zh-CN"/>
              </w:rPr>
            </w:pPr>
            <w:r>
              <w:rPr>
                <w:rFonts w:hint="eastAsia"/>
                <w:sz w:val="18"/>
                <w:szCs w:val="18"/>
                <w:vertAlign w:val="baseline"/>
                <w:lang w:val="en-US" w:eastAsia="zh-CN"/>
              </w:rPr>
              <w:t>暂无</w:t>
            </w:r>
            <w:del w:id="10" w:author="斯羽Kelinda" w:date="2025-01-08T21:35:22Z">
              <w:r>
                <w:rPr>
                  <w:rFonts w:hint="eastAsia"/>
                  <w:sz w:val="18"/>
                  <w:szCs w:val="18"/>
                  <w:vertAlign w:val="baseline"/>
                  <w:lang w:val="en-US" w:eastAsia="zh-CN"/>
                </w:rPr>
                <w:delText>（）</w:delText>
              </w:r>
            </w:del>
          </w:p>
        </w:tc>
        <w:tc>
          <w:tcPr>
            <w:tcW w:w="1959" w:type="pct"/>
            <w:gridSpan w:val="2"/>
          </w:tcPr>
          <w:p w14:paraId="6E94F4C7">
            <w:pPr>
              <w:rPr>
                <w:rFonts w:hint="default"/>
                <w:sz w:val="18"/>
                <w:szCs w:val="18"/>
                <w:vertAlign w:val="baseline"/>
                <w:lang w:val="en-US" w:eastAsia="zh-CN"/>
              </w:rPr>
            </w:pPr>
            <w:r>
              <w:rPr>
                <w:rFonts w:hint="eastAsia"/>
                <w:sz w:val="18"/>
                <w:szCs w:val="18"/>
                <w:vertAlign w:val="baseline"/>
                <w:lang w:val="en-US" w:eastAsia="zh-CN"/>
              </w:rPr>
              <w:t>行业培训咨询委员会</w:t>
            </w:r>
          </w:p>
        </w:tc>
      </w:tr>
      <w:tr w14:paraId="1AF28D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pct"/>
          </w:tcPr>
          <w:p w14:paraId="3724E4BA">
            <w:pPr>
              <w:rPr>
                <w:rFonts w:hint="default"/>
                <w:sz w:val="18"/>
                <w:szCs w:val="18"/>
                <w:vertAlign w:val="baseline"/>
                <w:lang w:val="en-US" w:eastAsia="zh-CN"/>
              </w:rPr>
            </w:pPr>
            <w:r>
              <w:rPr>
                <w:rFonts w:hint="eastAsia"/>
                <w:sz w:val="18"/>
                <w:szCs w:val="18"/>
                <w:vertAlign w:val="baseline"/>
                <w:lang w:val="en-US" w:eastAsia="zh-CN"/>
              </w:rPr>
              <w:t>质量保障机构</w:t>
            </w:r>
          </w:p>
        </w:tc>
        <w:tc>
          <w:tcPr>
            <w:tcW w:w="2212" w:type="pct"/>
            <w:gridSpan w:val="2"/>
          </w:tcPr>
          <w:p w14:paraId="6C3F92D9">
            <w:pPr>
              <w:rPr>
                <w:rFonts w:hint="default"/>
                <w:sz w:val="18"/>
                <w:szCs w:val="18"/>
                <w:vertAlign w:val="baseline"/>
                <w:lang w:val="en-US" w:eastAsia="zh-CN"/>
              </w:rPr>
            </w:pPr>
            <w:r>
              <w:rPr>
                <w:rFonts w:hint="eastAsia"/>
                <w:sz w:val="18"/>
                <w:szCs w:val="18"/>
                <w:vertAlign w:val="baseline"/>
                <w:lang w:val="en-US" w:eastAsia="zh-CN"/>
              </w:rPr>
              <w:t>暂无</w:t>
            </w:r>
          </w:p>
        </w:tc>
        <w:tc>
          <w:tcPr>
            <w:tcW w:w="1959" w:type="pct"/>
            <w:gridSpan w:val="2"/>
          </w:tcPr>
          <w:p w14:paraId="480D0D31">
            <w:pPr>
              <w:rPr>
                <w:rFonts w:hint="default"/>
                <w:sz w:val="18"/>
                <w:szCs w:val="18"/>
                <w:vertAlign w:val="baseline"/>
                <w:lang w:val="en-US" w:eastAsia="zh-CN"/>
              </w:rPr>
            </w:pPr>
            <w:r>
              <w:rPr>
                <w:rFonts w:hint="eastAsia"/>
                <w:sz w:val="18"/>
                <w:szCs w:val="18"/>
                <w:vertAlign w:val="baseline"/>
                <w:lang w:val="en-US" w:eastAsia="zh-CN"/>
              </w:rPr>
              <w:t>香港评审局</w:t>
            </w:r>
          </w:p>
        </w:tc>
      </w:tr>
      <w:tr w14:paraId="2FCB4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pct"/>
          </w:tcPr>
          <w:p w14:paraId="4ED99A10">
            <w:pPr>
              <w:rPr>
                <w:rFonts w:hint="default"/>
                <w:sz w:val="18"/>
                <w:szCs w:val="18"/>
                <w:vertAlign w:val="baseline"/>
                <w:lang w:val="en-US" w:eastAsia="zh-CN"/>
              </w:rPr>
            </w:pPr>
            <w:r>
              <w:rPr>
                <w:rFonts w:hint="eastAsia"/>
                <w:sz w:val="18"/>
                <w:szCs w:val="18"/>
                <w:vertAlign w:val="baseline"/>
                <w:lang w:val="en-US" w:eastAsia="zh-CN"/>
              </w:rPr>
              <w:t>公众查询平台</w:t>
            </w:r>
          </w:p>
        </w:tc>
        <w:tc>
          <w:tcPr>
            <w:tcW w:w="2212" w:type="pct"/>
            <w:gridSpan w:val="2"/>
          </w:tcPr>
          <w:p w14:paraId="72D8B490">
            <w:pPr>
              <w:rPr>
                <w:rFonts w:hint="default"/>
                <w:sz w:val="18"/>
                <w:szCs w:val="18"/>
                <w:vertAlign w:val="baseline"/>
                <w:lang w:val="en-US" w:eastAsia="zh-CN"/>
              </w:rPr>
            </w:pPr>
            <w:r>
              <w:rPr>
                <w:rFonts w:hint="eastAsia"/>
                <w:sz w:val="18"/>
                <w:szCs w:val="18"/>
                <w:vertAlign w:val="baseline"/>
                <w:lang w:val="en-US" w:eastAsia="zh-CN"/>
              </w:rPr>
              <w:t>暂无</w:t>
            </w:r>
          </w:p>
        </w:tc>
        <w:tc>
          <w:tcPr>
            <w:tcW w:w="1959" w:type="pct"/>
            <w:gridSpan w:val="2"/>
          </w:tcPr>
          <w:p w14:paraId="493CD6E2">
            <w:pPr>
              <w:rPr>
                <w:rFonts w:hint="default"/>
                <w:sz w:val="18"/>
                <w:szCs w:val="18"/>
                <w:vertAlign w:val="baseline"/>
                <w:lang w:val="en-US" w:eastAsia="zh-CN"/>
              </w:rPr>
            </w:pPr>
            <w:r>
              <w:rPr>
                <w:rFonts w:hint="eastAsia"/>
                <w:sz w:val="18"/>
                <w:szCs w:val="18"/>
                <w:vertAlign w:val="baseline"/>
                <w:lang w:val="en-US" w:eastAsia="zh-CN"/>
              </w:rPr>
              <w:t>香港资历名册</w:t>
            </w:r>
          </w:p>
        </w:tc>
      </w:tr>
    </w:tbl>
    <w:p w14:paraId="16BBD768">
      <w:pPr>
        <w:keepNext w:val="0"/>
        <w:keepLines w:val="0"/>
        <w:pageBreakBefore w:val="0"/>
        <w:widowControl/>
        <w:numPr>
          <w:ilvl w:val="0"/>
          <w:numId w:val="0"/>
        </w:numPr>
        <w:kinsoku/>
        <w:wordWrap/>
        <w:overflowPunct/>
        <w:topLinePunct w:val="0"/>
        <w:autoSpaceDE/>
        <w:autoSpaceDN/>
        <w:bidi w:val="0"/>
        <w:adjustRightInd/>
        <w:snapToGrid/>
        <w:ind w:firstLine="0" w:firstLineChars="0"/>
        <w:jc w:val="center"/>
        <w:textAlignment w:val="auto"/>
        <w:rPr>
          <w:rFonts w:hint="eastAsia" w:ascii="宋体" w:hAnsi="宋体" w:eastAsia="宋体" w:cs="宋体"/>
          <w:i w:val="0"/>
          <w:iCs w:val="0"/>
          <w:caps w:val="0"/>
          <w:spacing w:val="0"/>
          <w:sz w:val="21"/>
          <w:szCs w:val="21"/>
          <w:shd w:val="clear"/>
          <w:lang w:val="en-US" w:eastAsia="zh-CN"/>
        </w:rPr>
      </w:pPr>
    </w:p>
    <w:p w14:paraId="36E0E69C">
      <w:pPr>
        <w:widowControl/>
        <w:numPr>
          <w:ilvl w:val="0"/>
          <w:numId w:val="0"/>
        </w:numPr>
        <w:ind w:left="0" w:firstLine="420" w:firstLineChars="200"/>
        <w:jc w:val="left"/>
        <w:rPr>
          <w:ins w:id="11" w:author="斯羽Kelinda" w:date="2025-01-08T22:10:55Z"/>
          <w:rFonts w:hint="eastAsia" w:ascii="宋体" w:hAnsi="宋体" w:eastAsia="宋体" w:cs="宋体"/>
          <w:i w:val="0"/>
          <w:iCs w:val="0"/>
          <w:caps w:val="0"/>
          <w:spacing w:val="0"/>
          <w:sz w:val="21"/>
          <w:szCs w:val="21"/>
          <w:shd w:val="clear" w:fill="auto"/>
        </w:rPr>
      </w:pPr>
      <w:r>
        <w:rPr>
          <w:rFonts w:hint="eastAsia" w:ascii="宋体" w:hAnsi="宋体" w:eastAsia="宋体" w:cs="宋体"/>
          <w:i w:val="0"/>
          <w:iCs w:val="0"/>
          <w:caps w:val="0"/>
          <w:spacing w:val="0"/>
          <w:sz w:val="21"/>
          <w:szCs w:val="21"/>
          <w:shd w:val="clear"/>
          <w:lang w:val="en-US" w:eastAsia="zh-CN"/>
        </w:rPr>
        <w:t>规则性参与（Principled Engagement）是利益相关者通过一系列有序、规范的互动过程来发现共同价值并推动合作。“资历框架”既是一种技术工具，也是一种制度原则，它成为了粤港互动的基本规则。</w:t>
      </w:r>
      <w:r>
        <w:rPr>
          <w:rFonts w:hint="eastAsia" w:ascii="宋体" w:hAnsi="宋体" w:eastAsia="宋体" w:cs="宋体"/>
          <w:i w:val="0"/>
          <w:iCs w:val="0"/>
          <w:caps w:val="0"/>
          <w:spacing w:val="0"/>
          <w:sz w:val="21"/>
          <w:szCs w:val="21"/>
          <w:shd w:val="clear" w:fill="auto"/>
        </w:rPr>
        <w:t>在这一阶段，粤港双方以资历框架作为基本规则，开展了一系列规范化的互动。</w:t>
      </w:r>
      <w:r>
        <w:rPr>
          <w:rFonts w:hint="eastAsia" w:ascii="宋体" w:hAnsi="宋体" w:eastAsia="宋体" w:cs="宋体"/>
          <w:i w:val="0"/>
          <w:iCs w:val="0"/>
          <w:caps w:val="0"/>
          <w:spacing w:val="0"/>
          <w:sz w:val="21"/>
          <w:szCs w:val="21"/>
          <w:shd w:val="clear" w:fill="auto"/>
          <w:lang w:val="en-US" w:eastAsia="zh-CN"/>
        </w:rPr>
        <w:t>通过</w:t>
      </w:r>
      <w:r>
        <w:rPr>
          <w:rFonts w:hint="eastAsia" w:ascii="宋体" w:hAnsi="宋体" w:eastAsia="宋体" w:cs="宋体"/>
          <w:i w:val="0"/>
          <w:iCs w:val="0"/>
          <w:caps w:val="0"/>
          <w:spacing w:val="0"/>
          <w:sz w:val="21"/>
          <w:szCs w:val="21"/>
          <w:shd w:val="clear" w:fill="auto"/>
        </w:rPr>
        <w:t>围绕资历框架的级别设置、描述维度等核心要素进行深入探讨和比较分析</w:t>
      </w:r>
      <w:r>
        <w:rPr>
          <w:rFonts w:hint="eastAsia" w:ascii="宋体" w:hAnsi="宋体" w:eastAsia="宋体" w:cs="宋体"/>
          <w:i w:val="0"/>
          <w:iCs w:val="0"/>
          <w:caps w:val="0"/>
          <w:spacing w:val="0"/>
          <w:sz w:val="21"/>
          <w:szCs w:val="21"/>
          <w:shd w:val="clear" w:fill="auto"/>
          <w:lang w:eastAsia="zh-CN"/>
        </w:rPr>
        <w:t>，</w:t>
      </w:r>
      <w:r>
        <w:rPr>
          <w:rFonts w:hint="eastAsia" w:ascii="宋体" w:hAnsi="宋体" w:eastAsia="宋体" w:cs="宋体"/>
          <w:i w:val="0"/>
          <w:iCs w:val="0"/>
          <w:caps w:val="0"/>
          <w:spacing w:val="0"/>
          <w:sz w:val="21"/>
          <w:szCs w:val="21"/>
          <w:shd w:val="clear" w:fill="auto"/>
          <w:lang w:val="en-US" w:eastAsia="zh-CN"/>
        </w:rPr>
        <w:t>双方了解了彼此的政策环境、发展诉求、沟通偏好等等，为更深入的合作奠定了基础。</w:t>
      </w:r>
      <w:r>
        <w:rPr>
          <w:rFonts w:hint="eastAsia" w:ascii="宋体" w:hAnsi="宋体" w:eastAsia="宋体" w:cs="宋体"/>
          <w:i w:val="0"/>
          <w:iCs w:val="0"/>
          <w:caps w:val="0"/>
          <w:spacing w:val="0"/>
          <w:sz w:val="21"/>
          <w:szCs w:val="21"/>
          <w:shd w:val="clear" w:fill="auto"/>
        </w:rPr>
        <w:t>2017年1月的会议确立了这一基调，双方签署了《广东终身教育资历框架与香港资历架构接轨的意向书》和合作项目书，明确了以资历框架为核心的合作方向。广东方面随即于2017年3月发布《广东终身教育资历框架等级标准》，以地方标准的形式确立了资历框架的制度基础。</w:t>
      </w:r>
      <w:ins w:id="12" w:author="斯羽Kelinda" w:date="2025-01-08T22:11:53Z">
        <w:r>
          <w:rPr>
            <w:rFonts w:hint="eastAsia" w:ascii="宋体" w:hAnsi="宋体" w:eastAsia="宋体" w:cs="宋体"/>
            <w:i w:val="0"/>
            <w:iCs w:val="0"/>
            <w:caps w:val="0"/>
            <w:spacing w:val="0"/>
            <w:sz w:val="21"/>
            <w:szCs w:val="21"/>
            <w:shd w:val="clear" w:fill="auto"/>
          </w:rPr>
          <w:t>广东方面深入了解了香港资历架构成熟的运行机制。香港资历架构通过一个多层次、系统化的制度设计实现有效运作（如图1所示）：教育局作为最高决策机构进行统筹管理，资历架构秘书处负责日常运作，香港学术及职业资历评审局（HKCAAVQ）作为法定评审机构开展质量保障工作，各行业培训咨询委员会则负责制定相应的《能力标准说明》。这一体系通过立法授权确保其法律地位，通过专业评审保证资历质量，通过行业参与确保与实际需求的匹配，最终形成了一个完整的质量保证闭环。这种系统性、专业化的运行机制给广东方面留下了深刻印象，也为广东开展资历框架建设工作提供了重要参考。</w:t>
        </w:r>
      </w:ins>
    </w:p>
    <w:p w14:paraId="6B49B84C">
      <w:pPr>
        <w:widowControl/>
        <w:numPr>
          <w:ilvl w:val="0"/>
          <w:numId w:val="0"/>
        </w:numPr>
        <w:ind w:left="0" w:firstLine="0" w:firstLineChars="0"/>
        <w:jc w:val="left"/>
        <w:rPr>
          <w:rFonts w:hint="eastAsia" w:ascii="宋体" w:hAnsi="宋体" w:eastAsia="宋体" w:cs="宋体"/>
          <w:i w:val="0"/>
          <w:iCs w:val="0"/>
          <w:caps w:val="0"/>
          <w:spacing w:val="0"/>
          <w:sz w:val="21"/>
          <w:szCs w:val="21"/>
          <w:shd w:val="clear" w:fill="auto"/>
          <w:lang w:val="en-US" w:eastAsia="zh-CN"/>
        </w:rPr>
        <w:pPrChange w:id="13" w:author="斯羽Kelinda" w:date="2025-01-08T22:11:56Z">
          <w:pPr>
            <w:widowControl/>
            <w:numPr>
              <w:ilvl w:val="0"/>
              <w:numId w:val="0"/>
            </w:numPr>
            <w:ind w:left="0" w:firstLine="420" w:firstLineChars="200"/>
            <w:jc w:val="left"/>
          </w:pPr>
        </w:pPrChange>
      </w:pPr>
      <w:ins w:id="14" w:author="斯羽Kelinda" w:date="2025-01-08T22:10:56Z">
        <w:r>
          <w:rPr>
            <w:rFonts w:hint="eastAsia" w:ascii="宋体" w:hAnsi="宋体" w:eastAsia="宋体" w:cs="宋体"/>
            <w:i w:val="0"/>
            <w:iCs w:val="0"/>
            <w:caps w:val="0"/>
            <w:spacing w:val="0"/>
            <w:sz w:val="21"/>
            <w:szCs w:val="21"/>
            <w:shd w:val="clear"/>
            <w:lang w:val="en-US" w:eastAsia="zh-CN"/>
          </w:rPr>
          <w:drawing>
            <wp:inline distT="0" distB="0" distL="114300" distR="114300">
              <wp:extent cx="5124450" cy="2552700"/>
              <wp:effectExtent l="0" t="0" r="6350" b="0"/>
              <wp:docPr id="1" name="图片 1" descr="未命名文件(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24)"/>
                      <pic:cNvPicPr>
                        <a:picLocks noChangeAspect="1"/>
                      </pic:cNvPicPr>
                    </pic:nvPicPr>
                    <pic:blipFill>
                      <a:blip r:embed="rId7"/>
                      <a:stretch>
                        <a:fillRect/>
                      </a:stretch>
                    </pic:blipFill>
                    <pic:spPr>
                      <a:xfrm>
                        <a:off x="0" y="0"/>
                        <a:ext cx="5124450" cy="2552700"/>
                      </a:xfrm>
                      <a:prstGeom prst="rect">
                        <a:avLst/>
                      </a:prstGeom>
                    </pic:spPr>
                  </pic:pic>
                </a:graphicData>
              </a:graphic>
            </wp:inline>
          </w:drawing>
        </w:r>
      </w:ins>
    </w:p>
    <w:p w14:paraId="440AC8B9">
      <w:pPr>
        <w:numPr>
          <w:ilvl w:val="0"/>
          <w:numId w:val="0"/>
        </w:numPr>
        <w:ind w:left="0" w:firstLine="422" w:firstLineChars="200"/>
        <w:jc w:val="both"/>
        <w:outlineLvl w:val="1"/>
        <w:rPr>
          <w:rFonts w:hint="default" w:ascii="宋体" w:hAnsi="宋体" w:eastAsia="宋体" w:cs="宋体"/>
          <w:b/>
          <w:bCs/>
          <w:i w:val="0"/>
          <w:iCs w:val="0"/>
          <w:caps w:val="0"/>
          <w:spacing w:val="0"/>
          <w:sz w:val="21"/>
          <w:szCs w:val="21"/>
          <w:shd w:val="clear"/>
          <w:lang w:val="en-US" w:eastAsia="zh-CN"/>
        </w:rPr>
      </w:pPr>
      <w:r>
        <w:rPr>
          <w:rFonts w:hint="eastAsia" w:ascii="宋体" w:hAnsi="宋体" w:eastAsia="宋体" w:cs="宋体"/>
          <w:b/>
          <w:bCs/>
          <w:i w:val="0"/>
          <w:iCs w:val="0"/>
          <w:caps w:val="0"/>
          <w:spacing w:val="0"/>
          <w:sz w:val="21"/>
          <w:szCs w:val="21"/>
          <w:shd w:val="clear"/>
          <w:lang w:val="en-US" w:eastAsia="zh-CN"/>
        </w:rPr>
        <w:t>（二）</w:t>
      </w:r>
      <w:ins w:id="16" w:author="斯羽Kelinda" w:date="2025-01-08T16:38:39Z">
        <w:r>
          <w:rPr>
            <w:rFonts w:hint="eastAsia" w:ascii="宋体" w:hAnsi="宋体" w:eastAsia="宋体" w:cs="宋体"/>
            <w:b/>
            <w:bCs/>
            <w:i w:val="0"/>
            <w:iCs w:val="0"/>
            <w:caps w:val="0"/>
            <w:spacing w:val="0"/>
            <w:sz w:val="21"/>
            <w:szCs w:val="21"/>
            <w:shd w:val="clear"/>
            <w:lang w:val="en-US" w:eastAsia="zh-CN"/>
          </w:rPr>
          <w:t>深化</w:t>
        </w:r>
      </w:ins>
      <w:ins w:id="17" w:author="斯羽Kelinda" w:date="2025-01-08T16:38:42Z">
        <w:r>
          <w:rPr>
            <w:rFonts w:hint="eastAsia" w:ascii="宋体" w:hAnsi="宋体" w:eastAsia="宋体" w:cs="宋体"/>
            <w:b/>
            <w:bCs/>
            <w:i w:val="0"/>
            <w:iCs w:val="0"/>
            <w:caps w:val="0"/>
            <w:spacing w:val="0"/>
            <w:sz w:val="21"/>
            <w:szCs w:val="21"/>
            <w:shd w:val="clear"/>
            <w:lang w:val="en-US" w:eastAsia="zh-CN"/>
          </w:rPr>
          <w:t>发展</w:t>
        </w:r>
      </w:ins>
      <w:del w:id="18" w:author="斯羽Kelinda" w:date="2025-01-08T16:38:37Z">
        <w:r>
          <w:rPr>
            <w:rFonts w:hint="eastAsia" w:ascii="宋体" w:hAnsi="宋体" w:eastAsia="宋体" w:cs="宋体"/>
            <w:b/>
            <w:bCs/>
            <w:i w:val="0"/>
            <w:iCs w:val="0"/>
            <w:caps w:val="0"/>
            <w:spacing w:val="0"/>
            <w:sz w:val="21"/>
            <w:szCs w:val="21"/>
            <w:shd w:val="clear"/>
            <w:lang w:val="en-US" w:eastAsia="zh-CN"/>
          </w:rPr>
          <w:delText>第二个</w:delText>
        </w:r>
      </w:del>
      <w:del w:id="19" w:author="斯羽Kelinda" w:date="2025-01-08T16:38:36Z">
        <w:r>
          <w:rPr>
            <w:rFonts w:hint="eastAsia" w:ascii="宋体" w:hAnsi="宋体" w:eastAsia="宋体" w:cs="宋体"/>
            <w:b/>
            <w:bCs/>
            <w:i w:val="0"/>
            <w:iCs w:val="0"/>
            <w:caps w:val="0"/>
            <w:spacing w:val="0"/>
            <w:sz w:val="21"/>
            <w:szCs w:val="21"/>
            <w:shd w:val="clear"/>
            <w:lang w:val="en-US" w:eastAsia="zh-CN"/>
          </w:rPr>
          <w:delText>迭代周期</w:delText>
        </w:r>
      </w:del>
      <w:r>
        <w:rPr>
          <w:rFonts w:hint="eastAsia" w:ascii="宋体" w:hAnsi="宋体" w:eastAsia="宋体" w:cs="宋体"/>
          <w:b/>
          <w:bCs/>
          <w:i w:val="0"/>
          <w:iCs w:val="0"/>
          <w:caps w:val="0"/>
          <w:spacing w:val="0"/>
          <w:sz w:val="21"/>
          <w:szCs w:val="21"/>
          <w:shd w:val="clear"/>
          <w:lang w:val="en-US" w:eastAsia="zh-CN"/>
        </w:rPr>
        <w:t>：共识动机的构建</w:t>
      </w:r>
    </w:p>
    <w:p w14:paraId="7E7515D9">
      <w:pPr>
        <w:ind w:firstLine="420" w:firstLineChars="200"/>
        <w:outlineLvl w:val="9"/>
        <w:rPr>
          <w:ins w:id="20" w:author="斯羽Kelinda" w:date="2025-01-08T16:52:18Z"/>
          <w:rFonts w:hint="eastAsia" w:ascii="宋体" w:hAnsi="宋体" w:eastAsia="宋体" w:cs="宋体"/>
          <w:sz w:val="21"/>
          <w:szCs w:val="21"/>
          <w:rPrChange w:id="21" w:author="斯羽Kelinda" w:date="2025-01-08T16:52:30Z">
            <w:rPr>
              <w:ins w:id="22" w:author="斯羽Kelinda" w:date="2025-01-08T16:52:18Z"/>
              <w:rFonts w:ascii="楷体" w:hAnsi="楷体" w:eastAsia="宋体" w:cs="楷体"/>
              <w:sz w:val="24"/>
            </w:rPr>
          </w:rPrChange>
        </w:rPr>
      </w:pPr>
      <w:ins w:id="23" w:author="斯羽Kelinda" w:date="2025-01-08T16:39:27Z">
        <w:r>
          <w:rPr>
            <w:rFonts w:hint="eastAsia" w:ascii="宋体" w:hAnsi="宋体" w:eastAsia="宋体" w:cs="宋体"/>
            <w:i w:val="0"/>
            <w:iCs w:val="0"/>
            <w:caps w:val="0"/>
            <w:spacing w:val="0"/>
            <w:sz w:val="21"/>
            <w:szCs w:val="21"/>
            <w:shd w:val="clear"/>
            <w:lang w:val="en-US" w:eastAsia="zh-CN"/>
          </w:rPr>
          <w:t>在粤港资历框架形成初步参照的前提下，</w:t>
        </w:r>
      </w:ins>
      <w:ins w:id="24" w:author="斯羽Kelinda" w:date="2025-01-08T16:39:41Z">
        <w:r>
          <w:rPr>
            <w:rFonts w:hint="eastAsia" w:ascii="宋体" w:hAnsi="宋体" w:eastAsia="宋体" w:cs="宋体"/>
            <w:i w:val="0"/>
            <w:iCs w:val="0"/>
            <w:caps w:val="0"/>
            <w:spacing w:val="0"/>
            <w:sz w:val="21"/>
            <w:szCs w:val="21"/>
            <w:shd w:val="clear"/>
            <w:lang w:val="en-US" w:eastAsia="zh-CN"/>
          </w:rPr>
          <w:t>两地</w:t>
        </w:r>
      </w:ins>
      <w:ins w:id="25" w:author="斯羽Kelinda" w:date="2025-01-08T16:39:43Z">
        <w:r>
          <w:rPr>
            <w:rFonts w:hint="eastAsia" w:ascii="宋体" w:hAnsi="宋体" w:eastAsia="宋体" w:cs="宋体"/>
            <w:i w:val="0"/>
            <w:iCs w:val="0"/>
            <w:caps w:val="0"/>
            <w:spacing w:val="0"/>
            <w:sz w:val="21"/>
            <w:szCs w:val="21"/>
            <w:shd w:val="clear"/>
            <w:lang w:val="en-US" w:eastAsia="zh-CN"/>
          </w:rPr>
          <w:t>开启</w:t>
        </w:r>
      </w:ins>
      <w:ins w:id="26" w:author="斯羽Kelinda" w:date="2025-01-08T16:39:44Z">
        <w:r>
          <w:rPr>
            <w:rFonts w:hint="eastAsia" w:ascii="宋体" w:hAnsi="宋体" w:eastAsia="宋体" w:cs="宋体"/>
            <w:i w:val="0"/>
            <w:iCs w:val="0"/>
            <w:caps w:val="0"/>
            <w:spacing w:val="0"/>
            <w:sz w:val="21"/>
            <w:szCs w:val="21"/>
            <w:shd w:val="clear"/>
            <w:lang w:val="en-US" w:eastAsia="zh-CN"/>
          </w:rPr>
          <w:t>了</w:t>
        </w:r>
      </w:ins>
      <w:ins w:id="27" w:author="斯羽Kelinda" w:date="2025-01-08T16:39:46Z">
        <w:r>
          <w:rPr>
            <w:rFonts w:hint="eastAsia" w:ascii="宋体" w:hAnsi="宋体" w:eastAsia="宋体" w:cs="宋体"/>
            <w:i w:val="0"/>
            <w:iCs w:val="0"/>
            <w:caps w:val="0"/>
            <w:spacing w:val="0"/>
            <w:sz w:val="21"/>
            <w:szCs w:val="21"/>
            <w:shd w:val="clear"/>
            <w:lang w:val="en-US" w:eastAsia="zh-CN"/>
          </w:rPr>
          <w:t>日渐</w:t>
        </w:r>
      </w:ins>
      <w:ins w:id="28" w:author="斯羽Kelinda" w:date="2025-01-08T16:39:48Z">
        <w:r>
          <w:rPr>
            <w:rFonts w:hint="eastAsia" w:ascii="宋体" w:hAnsi="宋体" w:eastAsia="宋体" w:cs="宋体"/>
            <w:i w:val="0"/>
            <w:iCs w:val="0"/>
            <w:caps w:val="0"/>
            <w:spacing w:val="0"/>
            <w:sz w:val="21"/>
            <w:szCs w:val="21"/>
            <w:shd w:val="clear"/>
            <w:lang w:val="en-US" w:eastAsia="zh-CN"/>
          </w:rPr>
          <w:t>频繁</w:t>
        </w:r>
      </w:ins>
      <w:ins w:id="29" w:author="斯羽Kelinda" w:date="2025-01-08T16:39:49Z">
        <w:r>
          <w:rPr>
            <w:rFonts w:hint="eastAsia" w:ascii="宋体" w:hAnsi="宋体" w:eastAsia="宋体" w:cs="宋体"/>
            <w:i w:val="0"/>
            <w:iCs w:val="0"/>
            <w:caps w:val="0"/>
            <w:spacing w:val="0"/>
            <w:sz w:val="21"/>
            <w:szCs w:val="21"/>
            <w:shd w:val="clear"/>
            <w:lang w:val="en-US" w:eastAsia="zh-CN"/>
          </w:rPr>
          <w:t>和</w:t>
        </w:r>
      </w:ins>
      <w:ins w:id="30" w:author="斯羽Kelinda" w:date="2025-01-08T16:40:30Z">
        <w:r>
          <w:rPr>
            <w:rFonts w:hint="eastAsia" w:ascii="宋体" w:hAnsi="宋体" w:eastAsia="宋体" w:cs="宋体"/>
            <w:i w:val="0"/>
            <w:iCs w:val="0"/>
            <w:caps w:val="0"/>
            <w:spacing w:val="0"/>
            <w:sz w:val="21"/>
            <w:szCs w:val="21"/>
            <w:shd w:val="clear"/>
            <w:lang w:val="en-US" w:eastAsia="zh-CN"/>
          </w:rPr>
          <w:t>深入的</w:t>
        </w:r>
      </w:ins>
      <w:ins w:id="31" w:author="斯羽Kelinda" w:date="2025-01-08T16:40:31Z">
        <w:r>
          <w:rPr>
            <w:rFonts w:hint="eastAsia" w:ascii="宋体" w:hAnsi="宋体" w:eastAsia="宋体" w:cs="宋体"/>
            <w:i w:val="0"/>
            <w:iCs w:val="0"/>
            <w:caps w:val="0"/>
            <w:spacing w:val="0"/>
            <w:sz w:val="21"/>
            <w:szCs w:val="21"/>
            <w:shd w:val="clear"/>
            <w:lang w:val="en-US" w:eastAsia="zh-CN"/>
          </w:rPr>
          <w:t>交流</w:t>
        </w:r>
      </w:ins>
      <w:ins w:id="32" w:author="斯羽Kelinda" w:date="2025-01-08T16:39:27Z">
        <w:r>
          <w:rPr>
            <w:rFonts w:hint="eastAsia" w:ascii="宋体" w:hAnsi="宋体" w:eastAsia="宋体" w:cs="宋体"/>
            <w:i w:val="0"/>
            <w:iCs w:val="0"/>
            <w:caps w:val="0"/>
            <w:spacing w:val="0"/>
            <w:sz w:val="21"/>
            <w:szCs w:val="21"/>
            <w:shd w:val="clear"/>
            <w:lang w:val="en-US" w:eastAsia="zh-CN"/>
          </w:rPr>
          <w:t>。</w:t>
        </w:r>
      </w:ins>
      <w:r>
        <w:rPr>
          <w:rFonts w:hint="eastAsia" w:ascii="宋体" w:hAnsi="宋体" w:eastAsia="宋体" w:cs="宋体"/>
          <w:i w:val="0"/>
          <w:iCs w:val="0"/>
          <w:caps w:val="0"/>
          <w:spacing w:val="0"/>
          <w:sz w:val="21"/>
          <w:szCs w:val="21"/>
          <w:shd w:val="clear"/>
          <w:lang w:val="en-US" w:eastAsia="zh-CN"/>
        </w:rPr>
        <w:t>在2017年1月11日，广东开放大学举办了广东终身教育资历框架与香港资历架构接轨方案研讨会，重点围绕两地资历框架的衔接机制展开深入探讨，为后续深化合作奠定了重要基础。2018年7月13日召开的"粤港澳大湾区资历架构对接暨行业标准研制"会议，标志着双方合作进入了新的阶段。这次会议不仅首次明确提出了资历架构对接的基本原则和具体工作流程，更重要的是扩大了参与主体范围，将行业代表纳入合作框架，为后续工作奠定了更广泛的基础。此后的合作呈现出明显的深化趋势。2018年11月，广东方面赴港开展深入交流，港方也正式提出了质量保证机制的具体建议。双方在质量机制、过往资历认可等多个领域达成了实质性的合作共识。这一系列进展表明，粤港资历框架合作已从早期的概念性探讨和框架搭建，转向了更加实操性的推进阶段。</w:t>
      </w:r>
      <w:ins w:id="33" w:author="斯羽Kelinda" w:date="2025-01-08T16:52:18Z">
        <w:r>
          <w:rPr>
            <w:rFonts w:hint="eastAsia" w:ascii="宋体" w:hAnsi="宋体" w:eastAsia="宋体" w:cs="宋体"/>
            <w:sz w:val="21"/>
            <w:szCs w:val="21"/>
            <w:rPrChange w:id="34" w:author="斯羽Kelinda" w:date="2025-01-08T16:52:30Z">
              <w:rPr>
                <w:rFonts w:hint="eastAsia" w:ascii="楷体" w:hAnsi="楷体" w:eastAsia="宋体" w:cs="楷体"/>
                <w:sz w:val="24"/>
              </w:rPr>
            </w:rPrChange>
          </w:rPr>
          <w:t>2019年在珠海召开的粤港澳三方会议是粤港合作共建质量保障机制的开端，在这场会议确定了合作共建质量保障的意向、内容、机制。广东省教育厅厅长、香港教育局局长、澳门教育局局长都出席了会议。会议包括工作讨论会议、专家研讨会、签约仪式、圆桌讨论等内容，会程持续两天。在第一天的工作会议上，由香港学术评审局的领导与广东省教育厅、广东开放大学共同商议粤港合作共建质量保障机制的意向、方式，经双方讨论基本确立如下目标：</w:t>
        </w:r>
      </w:ins>
    </w:p>
    <w:p w14:paraId="60BBBDFD">
      <w:pPr>
        <w:numPr>
          <w:ilvl w:val="0"/>
          <w:numId w:val="5"/>
        </w:numPr>
        <w:jc w:val="left"/>
        <w:rPr>
          <w:ins w:id="35" w:author="斯羽Kelinda" w:date="2025-01-08T16:52:18Z"/>
          <w:rFonts w:ascii="楷体" w:hAnsi="楷体" w:eastAsia="楷体" w:cs="楷体"/>
        </w:rPr>
      </w:pPr>
      <w:ins w:id="36" w:author="斯羽Kelinda" w:date="2025-01-08T16:52:18Z">
        <w:r>
          <w:rPr>
            <w:rFonts w:hint="eastAsia" w:ascii="楷体" w:hAnsi="楷体" w:eastAsia="楷体" w:cs="楷体"/>
          </w:rPr>
          <w:t>建立质量保障制度（撰写文件）</w:t>
        </w:r>
      </w:ins>
    </w:p>
    <w:p w14:paraId="40C493D2">
      <w:pPr>
        <w:numPr>
          <w:ilvl w:val="0"/>
          <w:numId w:val="5"/>
        </w:numPr>
        <w:jc w:val="left"/>
        <w:rPr>
          <w:ins w:id="37" w:author="斯羽Kelinda" w:date="2025-01-08T16:52:18Z"/>
          <w:rFonts w:ascii="楷体" w:hAnsi="楷体" w:eastAsia="楷体" w:cs="楷体"/>
        </w:rPr>
      </w:pPr>
      <w:ins w:id="38" w:author="斯羽Kelinda" w:date="2025-01-08T16:52:18Z">
        <w:r>
          <w:rPr>
            <w:rFonts w:hint="eastAsia" w:ascii="楷体" w:hAnsi="楷体" w:eastAsia="楷体" w:cs="楷体"/>
          </w:rPr>
          <w:t>成立教育质量保障机构</w:t>
        </w:r>
      </w:ins>
    </w:p>
    <w:p w14:paraId="466BAEA4">
      <w:pPr>
        <w:numPr>
          <w:ilvl w:val="0"/>
          <w:numId w:val="5"/>
        </w:numPr>
        <w:jc w:val="left"/>
        <w:rPr>
          <w:ins w:id="39" w:author="斯羽Kelinda" w:date="2025-01-08T21:52:55Z"/>
          <w:rFonts w:ascii="楷体" w:hAnsi="楷体" w:eastAsia="楷体" w:cs="楷体"/>
        </w:rPr>
      </w:pPr>
      <w:ins w:id="40" w:author="斯羽Kelinda" w:date="2025-01-08T16:52:18Z">
        <w:r>
          <w:rPr>
            <w:rFonts w:hint="eastAsia" w:ascii="楷体" w:hAnsi="楷体" w:eastAsia="楷体" w:cs="楷体"/>
          </w:rPr>
          <w:t>组建专业团队</w:t>
        </w:r>
      </w:ins>
    </w:p>
    <w:p w14:paraId="04A6E181">
      <w:pPr>
        <w:numPr>
          <w:ilvl w:val="0"/>
          <w:numId w:val="0"/>
        </w:numPr>
        <w:ind w:left="0" w:firstLine="420"/>
        <w:jc w:val="both"/>
        <w:rPr>
          <w:ins w:id="41" w:author="斯羽Kelinda" w:date="2025-01-08T21:54:50Z"/>
          <w:rFonts w:hint="default" w:ascii="宋体" w:hAnsi="宋体" w:eastAsia="宋体" w:cs="宋体"/>
          <w:i w:val="0"/>
          <w:iCs w:val="0"/>
          <w:caps w:val="0"/>
          <w:spacing w:val="0"/>
          <w:sz w:val="21"/>
          <w:szCs w:val="21"/>
          <w:highlight w:val="yellow"/>
          <w:shd w:val="clear"/>
          <w:lang w:val="en-US" w:eastAsia="zh-CN"/>
        </w:rPr>
      </w:pPr>
      <w:ins w:id="42" w:author="斯羽Kelinda" w:date="2025-01-08T21:54:50Z">
        <w:r>
          <w:rPr>
            <w:rFonts w:hint="eastAsia" w:ascii="宋体" w:hAnsi="宋体" w:eastAsia="宋体" w:cs="宋体"/>
            <w:i w:val="0"/>
            <w:iCs w:val="0"/>
            <w:caps w:val="0"/>
            <w:spacing w:val="0"/>
            <w:sz w:val="21"/>
            <w:szCs w:val="21"/>
            <w:highlight w:val="yellow"/>
            <w:shd w:val="clear"/>
            <w:lang w:val="en-US" w:eastAsia="zh-CN"/>
          </w:rPr>
          <w:t>对接的理解不一样，目前国际上的资历框架对接是以欧盟为模版的，这种对接要求先要有一个大于国家的区域资历框架，再有国家或地区资历框架，这些资历框架先跟元框架对接，再实现彼此间的对接，香港坚持认为应该按照这种路线图实现对接。但是广东的专家认为不一定要遵循欧盟的路线。资历框架并不是唯一的能力资历评价的元工具，资历框架对接也并不是只有欧盟模式，国际上一些其他的教育机构也已经与国家或地区的资历框架对接。但是对于的“对接”字眼的使用和理解的确是双反的理解差异。</w:t>
        </w:r>
      </w:ins>
    </w:p>
    <w:p w14:paraId="4FB850E0">
      <w:pPr>
        <w:numPr>
          <w:ilvl w:val="0"/>
          <w:numId w:val="0"/>
        </w:numPr>
        <w:ind w:left="0" w:firstLine="420" w:firstLineChars="200"/>
        <w:jc w:val="left"/>
        <w:rPr>
          <w:ins w:id="43" w:author="斯羽Kelinda" w:date="2025-01-08T21:54:50Z"/>
          <w:rFonts w:hint="default" w:ascii="宋体" w:hAnsi="宋体" w:eastAsia="宋体" w:cs="宋体"/>
          <w:i w:val="0"/>
          <w:iCs w:val="0"/>
          <w:caps w:val="0"/>
          <w:spacing w:val="0"/>
          <w:sz w:val="21"/>
          <w:szCs w:val="21"/>
          <w:highlight w:val="yellow"/>
          <w:shd w:val="clear"/>
          <w:lang w:val="en-US" w:eastAsia="zh-CN"/>
        </w:rPr>
      </w:pPr>
      <w:ins w:id="44" w:author="斯羽Kelinda" w:date="2025-01-08T21:54:50Z">
        <w:r>
          <w:rPr>
            <w:rFonts w:hint="eastAsia" w:ascii="宋体" w:hAnsi="宋体" w:eastAsia="宋体" w:cs="宋体"/>
            <w:i w:val="0"/>
            <w:iCs w:val="0"/>
            <w:caps w:val="0"/>
            <w:spacing w:val="0"/>
            <w:sz w:val="21"/>
            <w:szCs w:val="21"/>
            <w:highlight w:val="yellow"/>
            <w:shd w:val="clear"/>
            <w:lang w:val="en-US" w:eastAsia="zh-CN"/>
          </w:rPr>
          <w:t>虽然对对接的理解不同，但是双方但对质量保障的重要性理解是达成共识的。</w:t>
        </w:r>
      </w:ins>
      <w:ins w:id="45" w:author="斯羽Kelinda" w:date="2025-01-08T21:54:50Z">
        <w:r>
          <w:rPr>
            <w:rFonts w:hint="eastAsia"/>
            <w:lang w:val="en-US" w:eastAsia="zh-CN"/>
          </w:rPr>
          <w:t>范富格特和韦斯特赫德总结了北美和欧洲高等教育质量评估体系的经验，提出了一个通用的评估模式</w:t>
        </w:r>
      </w:ins>
      <w:ins w:id="46" w:author="斯羽Kelinda" w:date="2025-01-08T21:54:50Z">
        <w:r>
          <w:rPr>
            <w:rStyle w:val="10"/>
            <w:rFonts w:hint="eastAsia"/>
            <w:lang w:val="en-US" w:eastAsia="zh-CN"/>
          </w:rPr>
          <w:t>[</w:t>
        </w:r>
      </w:ins>
      <w:ins w:id="47" w:author="斯羽Kelinda" w:date="2025-01-08T21:54:50Z">
        <w:r>
          <w:rPr>
            <w:rStyle w:val="10"/>
            <w:rFonts w:hint="eastAsia"/>
            <w:lang w:val="en-US" w:eastAsia="zh-CN"/>
          </w:rPr>
          <w:endnoteReference w:id="17"/>
        </w:r>
      </w:ins>
      <w:ins w:id="48" w:author="斯羽Kelinda" w:date="2025-01-08T21:54:50Z">
        <w:r>
          <w:rPr>
            <w:rStyle w:val="10"/>
            <w:rFonts w:hint="eastAsia"/>
            <w:lang w:val="en-US" w:eastAsia="zh-CN"/>
          </w:rPr>
          <w:t>]</w:t>
        </w:r>
      </w:ins>
      <w:ins w:id="49" w:author="斯羽Kelinda" w:date="2025-01-08T21:54:50Z">
        <w:r>
          <w:rPr>
            <w:rFonts w:hint="eastAsia"/>
            <w:lang w:val="en-US" w:eastAsia="zh-CN"/>
          </w:rPr>
          <w:t>。该模式包括一个独立的管理机构，基于自我评价的评估体系，同行评估机制，特别是外部专家的现场评估，以及一份包含多种形式的公开报告。粤港合作共建的质量保障机制基本与上述通行做法保持一致，但是基于粤港澳大湾区的现状和条件，广东的资历框架是内地首个资历框架，双方</w:t>
        </w:r>
      </w:ins>
      <w:ins w:id="50" w:author="斯羽Kelinda" w:date="2025-01-08T21:54:50Z">
        <w:r>
          <w:rPr>
            <w:rFonts w:hint="eastAsia"/>
            <w:b w:val="0"/>
            <w:bCs w:val="0"/>
            <w:lang w:val="en-US" w:eastAsia="zh-CN"/>
          </w:rPr>
          <w:t>提出了长远的建设愿景：</w:t>
        </w:r>
      </w:ins>
    </w:p>
    <w:p w14:paraId="4A1ACD5D">
      <w:pPr>
        <w:numPr>
          <w:ilvl w:val="0"/>
          <w:numId w:val="0"/>
        </w:numPr>
        <w:ind w:left="0" w:firstLine="210" w:firstLineChars="100"/>
        <w:jc w:val="both"/>
        <w:rPr>
          <w:rFonts w:hint="eastAsia" w:ascii="宋体" w:hAnsi="宋体" w:eastAsia="宋体" w:cs="宋体"/>
          <w:i w:val="0"/>
          <w:iCs w:val="0"/>
          <w:caps w:val="0"/>
          <w:spacing w:val="0"/>
          <w:sz w:val="21"/>
          <w:szCs w:val="21"/>
          <w:shd w:val="clear"/>
          <w:lang w:val="en-US" w:eastAsia="zh-CN"/>
        </w:rPr>
        <w:pPrChange w:id="51" w:author="斯羽Kelinda" w:date="2025-01-08T22:14:23Z">
          <w:pPr>
            <w:numPr>
              <w:ilvl w:val="0"/>
              <w:numId w:val="0"/>
            </w:numPr>
            <w:ind w:left="0" w:firstLine="420" w:firstLineChars="200"/>
            <w:jc w:val="both"/>
          </w:pPr>
        </w:pPrChange>
      </w:pPr>
      <w:r>
        <w:rPr>
          <w:rFonts w:hint="eastAsia" w:ascii="宋体" w:hAnsi="宋体" w:eastAsia="宋体" w:cs="宋体"/>
          <w:i w:val="0"/>
          <w:iCs w:val="0"/>
          <w:caps w:val="0"/>
          <w:spacing w:val="0"/>
          <w:sz w:val="21"/>
          <w:szCs w:val="21"/>
          <w:shd w:val="clear"/>
          <w:lang w:val="en-US" w:eastAsia="zh-CN"/>
        </w:rPr>
        <w:t>这个转折不仅体现在合作内容的深化上，更反映在合作方式的转变上。双方的互动从此前的经验交流和意见征询，发展为具体项目的规划与落实，展现出合作深度和广度的显著提升。这也为后续更深层次的合作创造了有利条件。</w:t>
      </w:r>
    </w:p>
    <w:p w14:paraId="0F963DA0">
      <w:pPr>
        <w:numPr>
          <w:ilvl w:val="0"/>
          <w:numId w:val="0"/>
        </w:numPr>
        <w:ind w:left="0" w:firstLine="420"/>
        <w:jc w:val="both"/>
        <w:rPr>
          <w:rFonts w:hint="eastAsia" w:ascii="宋体" w:hAnsi="宋体" w:eastAsia="宋体" w:cs="宋体"/>
          <w:i w:val="0"/>
          <w:iCs w:val="0"/>
          <w:caps w:val="0"/>
          <w:spacing w:val="0"/>
          <w:sz w:val="21"/>
          <w:szCs w:val="21"/>
          <w:shd w:val="clear"/>
          <w:lang w:val="en-US" w:eastAsia="zh-CN"/>
        </w:rPr>
      </w:pPr>
      <w:r>
        <w:rPr>
          <w:rFonts w:hint="eastAsia" w:ascii="宋体" w:hAnsi="宋体" w:eastAsia="宋体" w:cs="宋体"/>
          <w:i w:val="0"/>
          <w:iCs w:val="0"/>
          <w:caps w:val="0"/>
          <w:spacing w:val="0"/>
          <w:sz w:val="21"/>
          <w:szCs w:val="21"/>
          <w:shd w:val="clear"/>
          <w:lang w:val="en-US" w:eastAsia="zh-CN"/>
        </w:rPr>
        <w:t>在粤港资历框架形成初步参照的前提下，第二个迭代周期(2018-2019年)开始了。“资历框架对接”是一个激动人心的目标，</w:t>
      </w:r>
      <w:r>
        <w:rPr>
          <w:rFonts w:hint="eastAsia" w:ascii="宋体" w:hAnsi="宋体" w:eastAsia="宋体" w:cs="宋体"/>
          <w:szCs w:val="21"/>
        </w:rPr>
        <w:t>共享动机是协同治理动态中一个自我强化的循环过程，体现了参与主体之间的人际关系和关系要素，有时也被称为社会资本。它包含四个核心要素：互信、互相理解、内部合法性和共同承诺。互信是首要和关键要素，通过持续合作和相互了解而建立，它有助于降低交易成本并促进知识交流；互相理解使参与者能够理解和尊重他人立场，但不要求达成共同价值观；内部合法性确认了参与者之间的可信赖性，认可各方利益的相互依存性；而共同承诺则使参与者能够跨越原有的组织边界，致力于共同发展。这四个要素之间形成从互信到共同承诺的递进关系，通过规则性互动不断强化，而共享动机一旦形成又会反过来促进规则性互动的深入开展，形成良性循环，共同推动协同治理的发展。</w:t>
      </w:r>
      <w:r>
        <w:rPr>
          <w:rFonts w:hint="eastAsia" w:ascii="宋体" w:hAnsi="宋体" w:eastAsia="宋体" w:cs="宋体"/>
          <w:i w:val="0"/>
          <w:iCs w:val="0"/>
          <w:caps w:val="0"/>
          <w:spacing w:val="0"/>
          <w:sz w:val="21"/>
          <w:szCs w:val="21"/>
          <w:shd w:val="clear"/>
          <w:lang w:val="en-US" w:eastAsia="zh-CN"/>
        </w:rPr>
        <w:t>经过了多次的会议（见图），最重要。</w:t>
      </w:r>
    </w:p>
    <w:p w14:paraId="27A563A3">
      <w:pPr>
        <w:numPr>
          <w:ilvl w:val="0"/>
          <w:numId w:val="0"/>
        </w:numPr>
        <w:ind w:left="0" w:firstLine="420"/>
        <w:jc w:val="both"/>
        <w:rPr>
          <w:rFonts w:hint="default" w:ascii="宋体" w:hAnsi="宋体" w:eastAsia="宋体" w:cs="宋体"/>
          <w:i w:val="0"/>
          <w:iCs w:val="0"/>
          <w:caps w:val="0"/>
          <w:spacing w:val="0"/>
          <w:sz w:val="21"/>
          <w:szCs w:val="21"/>
          <w:highlight w:val="yellow"/>
          <w:shd w:val="clear"/>
          <w:lang w:val="en-US" w:eastAsia="zh-CN"/>
        </w:rPr>
      </w:pPr>
      <w:r>
        <w:rPr>
          <w:rFonts w:hint="eastAsia" w:ascii="宋体" w:hAnsi="宋体" w:eastAsia="宋体" w:cs="宋体"/>
          <w:i w:val="0"/>
          <w:iCs w:val="0"/>
          <w:caps w:val="0"/>
          <w:spacing w:val="0"/>
          <w:sz w:val="21"/>
          <w:szCs w:val="21"/>
          <w:highlight w:val="yellow"/>
          <w:shd w:val="clear"/>
          <w:lang w:val="en-US" w:eastAsia="zh-CN"/>
        </w:rPr>
        <w:t>对接的理解不一样，目前国际上的资历框架对接是以欧盟为模版的，这种对接要求先要有一个大于国家的区域资历框架，再有国家或地区资历框架，这些资历框架先跟元框架对接，再实现彼此间的对接，香港坚持认为应该按照这种路线图实现对接。但是广东的专家认为不一定要遵循欧盟的路线。资历框架并不是唯一的能力资历评价的元工具，资历框架对接也并不是只有欧盟模式，国际上一些其他的教育机构也已经与国家或地区的资历框架对接。但是对于的“对接”字眼的使用和理解的确是双反的理解差异。</w:t>
      </w:r>
    </w:p>
    <w:p w14:paraId="0DBA4554">
      <w:pPr>
        <w:numPr>
          <w:ilvl w:val="0"/>
          <w:numId w:val="0"/>
        </w:numPr>
        <w:ind w:left="0" w:firstLine="420" w:firstLineChars="200"/>
        <w:jc w:val="left"/>
        <w:rPr>
          <w:rFonts w:hint="default" w:ascii="宋体" w:hAnsi="宋体" w:eastAsia="宋体" w:cs="宋体"/>
          <w:i w:val="0"/>
          <w:iCs w:val="0"/>
          <w:caps w:val="0"/>
          <w:spacing w:val="0"/>
          <w:sz w:val="21"/>
          <w:szCs w:val="21"/>
          <w:highlight w:val="yellow"/>
          <w:shd w:val="clear"/>
          <w:lang w:val="en-US" w:eastAsia="zh-CN"/>
        </w:rPr>
      </w:pPr>
      <w:r>
        <w:rPr>
          <w:rFonts w:hint="eastAsia" w:ascii="宋体" w:hAnsi="宋体" w:eastAsia="宋体" w:cs="宋体"/>
          <w:i w:val="0"/>
          <w:iCs w:val="0"/>
          <w:caps w:val="0"/>
          <w:spacing w:val="0"/>
          <w:sz w:val="21"/>
          <w:szCs w:val="21"/>
          <w:highlight w:val="yellow"/>
          <w:shd w:val="clear"/>
          <w:lang w:val="en-US" w:eastAsia="zh-CN"/>
        </w:rPr>
        <w:t>虽然对对接的理解不同，但是双方但对质量保障的重要性理解是达成共识的。</w:t>
      </w:r>
      <w:r>
        <w:rPr>
          <w:rFonts w:hint="eastAsia"/>
          <w:lang w:val="en-US" w:eastAsia="zh-CN"/>
        </w:rPr>
        <w:t>范富格特和韦斯特赫德总结了北美和欧洲高等教育质量评估体系的经验，提出了一个通用的评估模式</w:t>
      </w:r>
      <w:r>
        <w:rPr>
          <w:rStyle w:val="10"/>
          <w:rFonts w:hint="eastAsia"/>
          <w:lang w:val="en-US" w:eastAsia="zh-CN"/>
        </w:rPr>
        <w:t>[</w:t>
      </w:r>
      <w:r>
        <w:rPr>
          <w:rStyle w:val="10"/>
          <w:rFonts w:hint="eastAsia"/>
          <w:lang w:val="en-US" w:eastAsia="zh-CN"/>
        </w:rPr>
        <w:endnoteReference w:id="18"/>
      </w:r>
      <w:r>
        <w:rPr>
          <w:rStyle w:val="10"/>
          <w:rFonts w:hint="eastAsia"/>
          <w:lang w:val="en-US" w:eastAsia="zh-CN"/>
        </w:rPr>
        <w:t>]</w:t>
      </w:r>
      <w:r>
        <w:rPr>
          <w:rFonts w:hint="eastAsia"/>
          <w:lang w:val="en-US" w:eastAsia="zh-CN"/>
        </w:rPr>
        <w:t>。该模式包括一个独立的管理机构，基于自我评价的评估体系，同行评估机制，特别是外部专家的现场评估，以及一份包含多种形式的公开报告。粤港合作共建的质量保障机制基本与上述通行做法保持一致，但是基于粤港澳大湾区的现状和条件，广东的资历框架是内地首个资历框架，双方</w:t>
      </w:r>
      <w:r>
        <w:rPr>
          <w:rFonts w:hint="eastAsia"/>
          <w:b w:val="0"/>
          <w:bCs w:val="0"/>
          <w:lang w:val="en-US" w:eastAsia="zh-CN"/>
        </w:rPr>
        <w:t>提出了长远的建设愿景：</w:t>
      </w:r>
    </w:p>
    <w:p w14:paraId="44467373">
      <w:pPr>
        <w:numPr>
          <w:ilvl w:val="0"/>
          <w:numId w:val="0"/>
        </w:numPr>
        <w:ind w:left="0" w:firstLine="420"/>
        <w:jc w:val="both"/>
        <w:rPr>
          <w:rFonts w:hint="eastAsia" w:ascii="宋体" w:hAnsi="宋体" w:eastAsia="宋体" w:cs="宋体"/>
          <w:i w:val="0"/>
          <w:iCs w:val="0"/>
          <w:caps w:val="0"/>
          <w:spacing w:val="0"/>
          <w:sz w:val="21"/>
          <w:szCs w:val="21"/>
          <w:shd w:val="clear" w:fill="FFFFFF"/>
          <w:lang w:val="en-US" w:eastAsia="zh-CN"/>
        </w:rPr>
      </w:pPr>
      <w:r>
        <w:rPr>
          <w:rFonts w:hint="eastAsia" w:ascii="宋体" w:hAnsi="宋体" w:eastAsia="宋体" w:cs="宋体"/>
          <w:i w:val="0"/>
          <w:iCs w:val="0"/>
          <w:caps w:val="0"/>
          <w:spacing w:val="0"/>
          <w:sz w:val="21"/>
          <w:szCs w:val="21"/>
          <w:shd w:val="clear" w:fill="FFFFFF"/>
          <w:lang w:val="en-US" w:eastAsia="zh-CN"/>
        </w:rPr>
        <w:t>2019年粤港澳大湾区发展规划纲要发布，东省教育厅厅长、香港教育局局长、澳门教育局局长都出席了会议。会议包括工作讨论会议、专家研讨会、签约仪式、圆桌讨论等内容，会程持续两天。在第一天的工作会议上，由香港学术评审局的领导与广东省教育厅、广东开放大学共同商议粤港合作共建质量保障机制的意向、方式，在珠海召开的粤港澳三方会议是粤港合作共建质量保障机制的开端，在这场会议确定了合作共建质量保障的意向、内容、机制。广东省教育厅厅长、香港教育局局长、澳门教育局局长都出席了会议。</w:t>
      </w:r>
      <w:r>
        <w:rPr>
          <w:rFonts w:hint="eastAsia" w:ascii="宋体" w:hAnsi="宋体" w:eastAsia="宋体" w:cs="宋体"/>
          <w:i w:val="0"/>
          <w:iCs w:val="0"/>
          <w:caps w:val="0"/>
          <w:spacing w:val="0"/>
          <w:sz w:val="21"/>
          <w:szCs w:val="21"/>
          <w:shd w:val="clear"/>
          <w:lang w:val="en-US" w:eastAsia="zh-CN"/>
        </w:rPr>
        <w:t>主要是对香港资历框架得以运行的制度和机制进行学习、移植和复制。在质量保障机制建设中进一步深化了这四个要素的互动。"发现"转向识别大湾区规划带来的新机遇和挑战；"定义"过程聚焦于明确质量保障的具体要求和标准；通过在珠海召开三方会议进行深入"商议"，各方在坦诚沟通中表达诉求、化解分歧；最终"决定"签署《粤港资历框架合作意向书》，为下一阶段合作奠定制度基础。</w:t>
      </w:r>
      <w:r>
        <w:rPr>
          <w:rFonts w:hint="eastAsia" w:ascii="宋体" w:hAnsi="宋体" w:eastAsia="宋体" w:cs="宋体"/>
          <w:i w:val="0"/>
          <w:iCs w:val="0"/>
          <w:caps w:val="0"/>
          <w:spacing w:val="0"/>
          <w:sz w:val="21"/>
          <w:szCs w:val="21"/>
          <w:shd w:val="clear" w:fill="FFFFFF"/>
          <w:lang w:val="en-US" w:eastAsia="zh-CN"/>
        </w:rPr>
        <w:t>在第一天的工作会议上，由香港学术评审局的领导与广东省教育厅、广东开放大学共同商议粤港合作共建质量保障机制的意向、方式，根据国际资历框架对接经验，具体来说就是欧盟资历框架对接的十条标准，经双方讨论基本确立如下目标：</w:t>
      </w:r>
    </w:p>
    <w:p w14:paraId="7FA80590">
      <w:pPr>
        <w:numPr>
          <w:ilvl w:val="0"/>
          <w:numId w:val="6"/>
        </w:numPr>
        <w:ind w:left="420" w:hanging="420" w:firstLineChars="0"/>
        <w:jc w:val="both"/>
        <w:rPr>
          <w:rFonts w:ascii="楷体" w:hAnsi="楷体" w:eastAsia="楷体" w:cs="楷体"/>
        </w:rPr>
      </w:pPr>
      <w:r>
        <w:rPr>
          <w:rFonts w:hint="eastAsia" w:ascii="楷体" w:hAnsi="楷体" w:eastAsia="楷体" w:cs="楷体"/>
        </w:rPr>
        <w:t>建立质量保障制度（撰写文件）</w:t>
      </w:r>
    </w:p>
    <w:p w14:paraId="426EB8FC">
      <w:pPr>
        <w:keepNext w:val="0"/>
        <w:keepLines w:val="0"/>
        <w:pageBreakBefore w:val="0"/>
        <w:widowControl/>
        <w:numPr>
          <w:ilvl w:val="0"/>
          <w:numId w:val="6"/>
        </w:numPr>
        <w:kinsoku/>
        <w:wordWrap/>
        <w:overflowPunct/>
        <w:topLinePunct w:val="0"/>
        <w:autoSpaceDE/>
        <w:autoSpaceDN/>
        <w:bidi w:val="0"/>
        <w:adjustRightInd/>
        <w:snapToGrid/>
        <w:ind w:left="420" w:hanging="420" w:firstLineChars="0"/>
        <w:jc w:val="left"/>
        <w:textAlignment w:val="auto"/>
        <w:rPr>
          <w:rFonts w:hint="eastAsia" w:ascii="宋体" w:hAnsi="宋体" w:eastAsia="宋体" w:cs="宋体"/>
          <w:i w:val="0"/>
          <w:iCs w:val="0"/>
          <w:caps w:val="0"/>
          <w:spacing w:val="0"/>
          <w:sz w:val="21"/>
          <w:szCs w:val="21"/>
          <w:shd w:val="clear"/>
          <w:lang w:val="en-US" w:eastAsia="zh-CN"/>
        </w:rPr>
      </w:pPr>
      <w:r>
        <w:rPr>
          <w:rFonts w:hint="eastAsia" w:ascii="楷体" w:hAnsi="楷体" w:eastAsia="楷体" w:cs="楷体"/>
        </w:rPr>
        <w:t>成立教育质量保障机构</w:t>
      </w:r>
    </w:p>
    <w:p w14:paraId="4C614E6F">
      <w:pPr>
        <w:keepNext w:val="0"/>
        <w:keepLines w:val="0"/>
        <w:pageBreakBefore w:val="0"/>
        <w:widowControl/>
        <w:numPr>
          <w:ilvl w:val="0"/>
          <w:numId w:val="6"/>
        </w:numPr>
        <w:kinsoku/>
        <w:wordWrap/>
        <w:overflowPunct/>
        <w:topLinePunct w:val="0"/>
        <w:autoSpaceDE/>
        <w:autoSpaceDN/>
        <w:bidi w:val="0"/>
        <w:adjustRightInd/>
        <w:snapToGrid/>
        <w:ind w:left="420" w:hanging="420" w:firstLineChars="0"/>
        <w:jc w:val="left"/>
        <w:textAlignment w:val="auto"/>
        <w:rPr>
          <w:rFonts w:hint="eastAsia" w:ascii="宋体" w:hAnsi="宋体" w:eastAsia="宋体" w:cs="宋体"/>
          <w:i w:val="0"/>
          <w:iCs w:val="0"/>
          <w:caps w:val="0"/>
          <w:spacing w:val="0"/>
          <w:sz w:val="21"/>
          <w:szCs w:val="21"/>
          <w:shd w:val="clear"/>
          <w:lang w:val="en-US" w:eastAsia="zh-CN"/>
        </w:rPr>
      </w:pPr>
      <w:r>
        <w:rPr>
          <w:rFonts w:hint="eastAsia" w:ascii="楷体" w:hAnsi="楷体" w:eastAsia="楷体" w:cs="楷体"/>
        </w:rPr>
        <w:t>组建专业团队</w:t>
      </w:r>
    </w:p>
    <w:p w14:paraId="5A3B1A0E">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right="0" w:rightChars="0" w:firstLine="420" w:firstLineChars="0"/>
        <w:jc w:val="both"/>
        <w:textAlignment w:val="auto"/>
        <w:rPr>
          <w:rFonts w:hint="eastAsia"/>
          <w:lang w:val="en-US" w:eastAsia="zh-CN"/>
        </w:rPr>
      </w:pPr>
      <w:r>
        <w:rPr>
          <w:rFonts w:hint="eastAsia" w:ascii="宋体" w:hAnsi="宋体" w:eastAsia="宋体" w:cs="宋体"/>
          <w:i w:val="0"/>
          <w:iCs w:val="0"/>
          <w:caps w:val="0"/>
          <w:spacing w:val="0"/>
          <w:sz w:val="21"/>
          <w:szCs w:val="21"/>
          <w:shd w:val="clear"/>
          <w:lang w:val="en-US" w:eastAsia="zh-CN"/>
        </w:rPr>
        <w:t>“应该说我经历了广东省资历框架的建设以及后期很多的标准制定，在这过程当中，不仅仅这次会议，我特别想讲的一个词是感恩，非常的感谢我们香港方对广东的资历架构建立的支持，以及后续很多标准尤其培训的支持。其实半年的时间，从去年11月份，还有今年1月份、5月份连续有三次去到香港，我深深的感受是，我能听懂粤语，无论能不能听懂粤语，香港的朋友都尽力用普通话和我们交流，其实挺感动，我们也想用粤语来和你们交流，但是我实在不知道怎么样表达，我在广东也生活了二十来年，因此我觉得你们太了不起，当然这只是一个表象，在语言方面。其实你们在很多方面给了我们很好的资料，尤其上一次我们对黎英伟总经理那边去学习能力标准的制定，我当时问了黎总一句话，我说：“你们还没有能力标准制定的材料？”他说：“我们所有的材料全部都给了你们。”也就是说，我们香港的朋友在交流的过程当中，倾其所能，把所有你们的经验、资料、很多的成果都给了我们，这里也深深地感觉到同一个国家，文化是同源同根，因此我们的认同感非常强，交流起来很好，很亲切，也很感谢、感动”</w:t>
      </w:r>
    </w:p>
    <w:p w14:paraId="658C6D4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right="0" w:rightChars="0" w:firstLine="420" w:firstLineChars="200"/>
        <w:jc w:val="left"/>
        <w:textAlignment w:val="auto"/>
        <w:rPr>
          <w:rFonts w:hint="eastAsia"/>
          <w:b w:val="0"/>
          <w:bCs w:val="0"/>
          <w:lang w:val="en-US" w:eastAsia="zh-CN"/>
        </w:rPr>
      </w:pPr>
      <w:r>
        <w:rPr>
          <w:rFonts w:hint="eastAsia"/>
          <w:lang w:val="en-US" w:eastAsia="zh-CN"/>
        </w:rPr>
        <w:t>范富格特和韦斯特赫德总结了北美和欧洲高等教育质量评估体系的经验，提出了一个通用的评估模式</w:t>
      </w:r>
      <w:r>
        <w:rPr>
          <w:rStyle w:val="10"/>
          <w:rFonts w:hint="eastAsia"/>
          <w:lang w:val="en-US" w:eastAsia="zh-CN"/>
        </w:rPr>
        <w:t>[</w:t>
      </w:r>
      <w:r>
        <w:rPr>
          <w:rStyle w:val="10"/>
          <w:rFonts w:hint="eastAsia"/>
          <w:lang w:val="en-US" w:eastAsia="zh-CN"/>
        </w:rPr>
        <w:endnoteReference w:id="19"/>
      </w:r>
      <w:r>
        <w:rPr>
          <w:rStyle w:val="10"/>
          <w:rFonts w:hint="eastAsia"/>
          <w:lang w:val="en-US" w:eastAsia="zh-CN"/>
        </w:rPr>
        <w:t>]</w:t>
      </w:r>
      <w:r>
        <w:rPr>
          <w:rFonts w:hint="eastAsia"/>
          <w:lang w:val="en-US" w:eastAsia="zh-CN"/>
        </w:rPr>
        <w:t>。该模式包括一个独立的管理机构，基于自我评价的评估体系，同行评估机制，特别是外部专家的现场评估，以及一份包含多种形式的公开报告。粤港合作共建的质量保障机制基本与上述通行做法保持一致，但是基于粤港澳大湾区的现状和条件，广东的资历框架是内地首个资历框架，双方</w:t>
      </w:r>
      <w:r>
        <w:rPr>
          <w:rFonts w:hint="eastAsia"/>
          <w:b w:val="0"/>
          <w:bCs w:val="0"/>
          <w:lang w:val="en-US" w:eastAsia="zh-CN"/>
        </w:rPr>
        <w:t>提出了长远的建设愿景：</w:t>
      </w:r>
    </w:p>
    <w:p w14:paraId="2BD0834A">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right="0" w:rightChars="0" w:firstLine="420" w:firstLineChars="200"/>
        <w:jc w:val="left"/>
        <w:textAlignment w:val="auto"/>
        <w:rPr>
          <w:rFonts w:hint="default"/>
          <w:b w:val="0"/>
          <w:bCs w:val="0"/>
          <w:lang w:val="en-US" w:eastAsia="zh-CN"/>
        </w:rPr>
      </w:pPr>
      <w:r>
        <w:rPr>
          <w:rFonts w:hint="eastAsia" w:ascii="楷体" w:hAnsi="楷体" w:eastAsia="楷体" w:cs="楷体"/>
          <w:b w:val="0"/>
          <w:bCs w:val="0"/>
          <w:lang w:val="en-US" w:eastAsia="zh-CN"/>
        </w:rPr>
        <w:t>“希望未来能够看到广东省资历框架成为国家的框架，我们希望看到这样的结果，不只是对接而已，还要再远一点点，不只是形成国家的框架，我还希望这个完全跟国际接轨。我5月去英国QAA英国质量保证局访问的时候，我都有跟他们提过我们即将和你们的合作，”（香港资历架构，20190624）</w:t>
      </w:r>
    </w:p>
    <w:p w14:paraId="331D588C">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rPr>
          <w:rFonts w:hint="eastAsia" w:ascii="楷体" w:hAnsi="楷体" w:eastAsia="楷体" w:cs="楷体"/>
          <w:lang w:val="en-US" w:eastAsia="zh-CN"/>
        </w:rPr>
      </w:pPr>
      <w:r>
        <w:rPr>
          <w:rFonts w:hint="eastAsia"/>
          <w:lang w:val="en-US" w:eastAsia="zh-CN"/>
        </w:rPr>
        <w:t>粤港合作共建教育质量保障机制实际上是要将香港已经运行超过十年的基于资历架构的质量保障制度引进广东。这既是资历框架建设的需求，也是粤港教育协同治理、粤港教育教学资源对接的基础和条件。2019年的会议虽然对很多问题都进行了讨论，但是由于疫情等原因，直到2022年，才正式签约开启合作。正式建立合作的第一个问题，就是处理关于2019年遗留的草案撰写的问题。香港仍然认为自己不具备充分的能力撰写，广东也确实没有现成的专家团队可以承担此项任务，最终是靠对粤港两边都足够了解的专家提出来解决方案：</w:t>
      </w:r>
    </w:p>
    <w:p w14:paraId="3500CE33">
      <w:pPr>
        <w:keepNext w:val="0"/>
        <w:keepLines w:val="0"/>
        <w:pageBreakBefore w:val="0"/>
        <w:widowControl/>
        <w:numPr>
          <w:ilvl w:val="0"/>
          <w:numId w:val="0"/>
        </w:numPr>
        <w:kinsoku/>
        <w:wordWrap/>
        <w:overflowPunct/>
        <w:topLinePunct w:val="0"/>
        <w:autoSpaceDE/>
        <w:autoSpaceDN/>
        <w:bidi w:val="0"/>
        <w:adjustRightInd/>
        <w:snapToGrid/>
        <w:ind w:left="0" w:firstLine="420" w:firstLineChars="0"/>
        <w:jc w:val="both"/>
        <w:textAlignment w:val="auto"/>
        <w:outlineLvl w:val="1"/>
        <w:rPr>
          <w:rFonts w:hint="default" w:ascii="宋体" w:hAnsi="宋体" w:eastAsia="宋体" w:cs="宋体"/>
          <w:b/>
          <w:bCs/>
          <w:i w:val="0"/>
          <w:iCs w:val="0"/>
          <w:caps w:val="0"/>
          <w:spacing w:val="0"/>
          <w:sz w:val="21"/>
          <w:szCs w:val="21"/>
          <w:highlight w:val="yellow"/>
          <w:shd w:val="clear"/>
          <w:lang w:val="en-US" w:eastAsia="zh-CN"/>
        </w:rPr>
      </w:pPr>
      <w:r>
        <w:rPr>
          <w:rFonts w:hint="eastAsia" w:ascii="宋体" w:hAnsi="宋体" w:eastAsia="宋体" w:cs="宋体"/>
          <w:b/>
          <w:bCs/>
          <w:szCs w:val="21"/>
          <w:highlight w:val="yellow"/>
          <w:lang w:eastAsia="zh-CN"/>
        </w:rPr>
        <w:t>（</w:t>
      </w:r>
      <w:r>
        <w:rPr>
          <w:rFonts w:hint="eastAsia" w:ascii="宋体" w:hAnsi="宋体" w:eastAsia="宋体" w:cs="宋体"/>
          <w:b/>
          <w:bCs/>
          <w:szCs w:val="21"/>
          <w:highlight w:val="yellow"/>
          <w:lang w:val="en-US" w:eastAsia="zh-CN"/>
        </w:rPr>
        <w:t>三</w:t>
      </w:r>
      <w:r>
        <w:rPr>
          <w:rFonts w:hint="eastAsia" w:ascii="宋体" w:hAnsi="宋体" w:eastAsia="宋体" w:cs="宋体"/>
          <w:b/>
          <w:bCs/>
          <w:szCs w:val="21"/>
          <w:highlight w:val="yellow"/>
          <w:lang w:eastAsia="zh-CN"/>
        </w:rPr>
        <w:t>）</w:t>
      </w:r>
      <w:r>
        <w:rPr>
          <w:rFonts w:hint="eastAsia" w:ascii="宋体" w:hAnsi="宋体" w:eastAsia="宋体" w:cs="宋体"/>
          <w:b/>
          <w:bCs/>
          <w:szCs w:val="21"/>
          <w:highlight w:val="yellow"/>
          <w:lang w:val="en-US" w:eastAsia="zh-CN"/>
        </w:rPr>
        <w:t>第三个迭代周期：协同能力建设（质量保障机制的内容，逻辑，质量保障是一种不同于评估的）</w:t>
      </w:r>
    </w:p>
    <w:p w14:paraId="44B9BA7A">
      <w:pPr>
        <w:keepNext w:val="0"/>
        <w:keepLines w:val="0"/>
        <w:pageBreakBefore w:val="0"/>
        <w:widowControl/>
        <w:numPr>
          <w:ilvl w:val="-1"/>
          <w:numId w:val="0"/>
        </w:numPr>
        <w:kinsoku/>
        <w:wordWrap/>
        <w:overflowPunct/>
        <w:topLinePunct w:val="0"/>
        <w:autoSpaceDE/>
        <w:autoSpaceDN/>
        <w:bidi w:val="0"/>
        <w:adjustRightInd/>
        <w:snapToGrid/>
        <w:ind w:left="0" w:firstLine="420" w:firstLineChars="200"/>
        <w:jc w:val="left"/>
        <w:textAlignment w:val="auto"/>
        <w:rPr>
          <w:rFonts w:hint="eastAsia" w:ascii="宋体" w:hAnsi="宋体" w:eastAsia="宋体" w:cs="宋体"/>
          <w:i w:val="0"/>
          <w:iCs w:val="0"/>
          <w:caps w:val="0"/>
          <w:spacing w:val="0"/>
          <w:sz w:val="21"/>
          <w:szCs w:val="21"/>
          <w:shd w:val="clear"/>
          <w:lang w:val="en-US" w:eastAsia="zh-CN"/>
        </w:rPr>
      </w:pPr>
      <w:r>
        <w:rPr>
          <w:rFonts w:hint="eastAsia"/>
          <w:lang w:val="en-US" w:eastAsia="zh-CN"/>
        </w:rPr>
        <w:t>制度、知识。</w:t>
      </w:r>
      <w:r>
        <w:rPr>
          <w:rFonts w:hint="eastAsia" w:ascii="宋体" w:hAnsi="宋体" w:eastAsia="宋体" w:cs="宋体"/>
          <w:i w:val="0"/>
          <w:iCs w:val="0"/>
          <w:caps w:val="0"/>
          <w:spacing w:val="0"/>
          <w:sz w:val="21"/>
          <w:szCs w:val="21"/>
          <w:shd w:val="clear"/>
          <w:lang w:val="en-US" w:eastAsia="zh-CN"/>
        </w:rPr>
        <w:t>到第三个迭代周期(2019-2024年)主要任务是贯彻《粤港资历框架合作意向书》的任务，借助香港的经验建设广东资历框架下的质量保障机制，首先是发现阶段。双方通过初步接触发现了共同需求和合作基础。</w:t>
      </w:r>
      <w:r>
        <w:rPr>
          <w:rFonts w:hint="default"/>
        </w:rPr>
        <w:t>协同能力是指跨组织边界共同行动的潜力。在粤港资历框架合作中，通过程序和制度安排、机构建设、领导力、知识管理和资源整合五个核心要素的系统构建，实现了合作效能的持续提升。</w:t>
      </w:r>
      <w:r>
        <w:rPr>
          <w:rFonts w:hint="eastAsia" w:ascii="宋体" w:hAnsi="宋体" w:eastAsia="宋体" w:cs="宋体"/>
          <w:i w:val="0"/>
          <w:iCs w:val="0"/>
          <w:caps w:val="0"/>
          <w:spacing w:val="0"/>
          <w:sz w:val="21"/>
          <w:szCs w:val="21"/>
          <w:shd w:val="clear"/>
          <w:lang w:val="en-US" w:eastAsia="zh-CN"/>
        </w:rPr>
        <w:t>广东需要在资历框架和质量保障体系建设方面获取经验，而香港则希望拓展其影响力。通过多次会面和交流，双方认识到在资历框架层面存在互补性，特别是在珠海三方会议前的预备会议中，进一步发掘了质量保障机制建设方面的合作空间。</w:t>
      </w:r>
    </w:p>
    <w:p w14:paraId="71572631">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i w:val="0"/>
          <w:iCs w:val="0"/>
          <w:caps w:val="0"/>
          <w:spacing w:val="0"/>
          <w:sz w:val="21"/>
          <w:szCs w:val="21"/>
          <w:shd w:val="clear"/>
          <w:lang w:val="en-US" w:eastAsia="zh-CN"/>
        </w:rPr>
      </w:pPr>
      <w:r>
        <w:rPr>
          <w:rFonts w:hint="eastAsia" w:ascii="宋体" w:hAnsi="宋体" w:eastAsia="宋体" w:cs="宋体"/>
          <w:i w:val="0"/>
          <w:iCs w:val="0"/>
          <w:caps w:val="0"/>
          <w:spacing w:val="0"/>
          <w:sz w:val="21"/>
          <w:szCs w:val="21"/>
          <w:shd w:val="clear"/>
          <w:lang w:val="en-US" w:eastAsia="zh-CN"/>
        </w:rPr>
        <w:t>其次是定义阶段。双方不仅明确了建立质量保障制度、成立教育质量保障机构、组建专业团队等具体合作目标，更进一步通过签订《粤港资历框架合作意向书》正式确立了合作关系。特别值得注意的是，广东开放大学与香港学术评审局建立了直接的咨询服务关系，双方签订合同，共同制定了《广东资历框架下的质量保障机制》，这标志着合作进入了一个更加实质性的阶段。在商议阶段，合作的深度和广度都得到了显著提升。双方成立了专门的工作团队，建立了制度化的沟通机制，通过每月召开的定期例会，对香港资历框架的质量保障机制进行了全面、系统的学习。这一阶段的互动较之前更为深入和密集，期间还举办了7次培训工作坊，累计参与350多人次。通过如此频繁的互动和深入的文化学习，双方建立了更为牢固的"共享动机"，并就具体的评审标准和流程进行了更加细致的讨论。最后是决定阶段。双方确定采用机构评审、课程评审和成果评审三种评审类型，并选定香港赛马会见习骑师学校作为试点评审对象。通过试点评审的成功实施，最终将见习骑师证书纳入资历名册。</w:t>
      </w:r>
    </w:p>
    <w:p w14:paraId="23A7CB53">
      <w:pPr>
        <w:numPr>
          <w:ilvl w:val="0"/>
          <w:numId w:val="0"/>
        </w:numPr>
        <w:ind w:firstLine="420"/>
        <w:rPr>
          <w:rFonts w:hint="eastAsia"/>
          <w:b w:val="0"/>
          <w:bCs w:val="0"/>
          <w:lang w:val="en-US" w:eastAsia="zh-CN"/>
        </w:rPr>
      </w:pPr>
      <w:r>
        <w:rPr>
          <w:rFonts w:hint="eastAsia"/>
          <w:b w:val="0"/>
          <w:bCs w:val="0"/>
          <w:lang w:val="en-US" w:eastAsia="zh-CN"/>
        </w:rPr>
        <w:t>组建工作团队和专家团队，工作团队包括香港评审局和广东学分银行的工作人员，专家团队则主要包括广东标准化、教育系统、人设系统的专家。</w:t>
      </w:r>
    </w:p>
    <w:p w14:paraId="2EB363BF">
      <w:pPr>
        <w:numPr>
          <w:ilvl w:val="0"/>
          <w:numId w:val="0"/>
        </w:numPr>
        <w:ind w:firstLine="420"/>
        <w:rPr>
          <w:rFonts w:hint="eastAsia" w:ascii="Times New Roman"/>
          <w:sz w:val="21"/>
          <w:szCs w:val="21"/>
          <w:lang w:val="en-US" w:eastAsia="zh-CN"/>
        </w:rPr>
      </w:pPr>
      <w:r>
        <w:rPr>
          <w:rFonts w:hint="eastAsia"/>
          <w:b w:val="0"/>
          <w:bCs w:val="0"/>
          <w:lang w:val="en-US" w:eastAsia="zh-CN"/>
        </w:rPr>
        <w:t>通过多次培训，了解到香港质量保障的运作机制，评审局长作为第三方机构，是法定机构的性质，依据评审标准，通过机构评审和课程评审两种主要类型对香港的教育系统进行质量保障，通过质量保障的资历，会纳入资历名册。而其中最复杂的充满技术细节的是评审过程。广东在没有相关的第三方机构前提下，模拟了“广东资历评审服务中心”，并多次向政府汇报建议成立第三方评估机构，或由广东省教研院代行相应的职能，还在内部讨论中。广东根据省情，发展出：机构评审、课程评审和成果评审三个评审类型，比对香港的质量保障机制设计出了广东质量保障机制的模型，更进一步的是</w:t>
      </w:r>
      <w:r>
        <w:rPr>
          <w:rFonts w:hint="eastAsia" w:ascii="Times New Roman"/>
          <w:sz w:val="21"/>
          <w:szCs w:val="21"/>
          <w:lang w:val="en-US" w:eastAsia="zh-CN"/>
        </w:rPr>
        <w:t>形成了系列文件。</w:t>
      </w:r>
    </w:p>
    <w:p w14:paraId="01F331EF">
      <w:pPr>
        <w:ind w:firstLine="420" w:firstLineChars="200"/>
        <w:rPr>
          <w:rFonts w:hint="default"/>
        </w:rPr>
      </w:pPr>
      <w:r>
        <w:rPr>
          <w:rFonts w:hint="default"/>
        </w:rPr>
        <w:t>在程序和制度安排方面，粤港双方建立了多层次的制度体系。通过省教育综合改革体制小组建立了高规格的领导机制，由省长担任学分银行总组长，分管教育的副省长任常务副组长，为工作推进提供了强有力的组织保障。在日常工作层面，建立了包括15次工作例会和7次培训工作坊在内的定期会晤制度，同时设立联络员制度，确保了工作的持续性和日常沟通的顺畅。在质量保证方面，创新性地设计了机构评审、课程评审和成果评审三种类型，形成了完整的评审制度体系，并配套制定了详细的评审标准和操作流程，建立了双语工作表格和同声传译机制。</w:t>
      </w:r>
    </w:p>
    <w:p w14:paraId="6208C5B8">
      <w:pPr>
        <w:ind w:firstLine="420" w:firstLineChars="200"/>
        <w:rPr>
          <w:rFonts w:hint="default"/>
        </w:rPr>
      </w:pPr>
      <w:r>
        <w:rPr>
          <w:rFonts w:hint="default"/>
        </w:rPr>
        <w:t>机构建设经历了从单一到多元的发展过程。广东开放大学作为具体执行机构，凭借其标准化专业优势，首创性地采用地方标准形式发布资历框架。随后，通过模拟设立"广东资历评审服务中心"，探索建立第三方评估机构。虽然正式机构尚在筹建中，但这种机构创新为合作提供了重要的组织保障。更为重要的是，合作过程中逐步建立起包括教育部门、人社部门、行业组织等在内的多元合作网络，大大拓展了合作的广度和深度。</w:t>
      </w:r>
    </w:p>
    <w:p w14:paraId="5B6E544B">
      <w:pPr>
        <w:ind w:firstLine="420" w:firstLineChars="200"/>
        <w:rPr>
          <w:rFonts w:hint="default"/>
        </w:rPr>
      </w:pPr>
      <w:r>
        <w:rPr>
          <w:rFonts w:hint="default"/>
        </w:rPr>
        <w:t>领导力的发展体现在三个层面的有效互动。在决策层面，省级领导的直接参与和推动确保了工作的顺利开展。在专业层面，以李江、何秀文、杜怡萍等为代表的专业评审团队，在实践中展现了成熟的领导能力，特别是在处理语言障碍等具体问题时表现突出。在协调层面，通过建立召集人、协调人等多元化的领导角色，形成了分工明确、协作有序的领导体系。</w:t>
      </w:r>
    </w:p>
    <w:p w14:paraId="5A151831">
      <w:pPr>
        <w:ind w:firstLine="420" w:firstLineChars="200"/>
        <w:rPr>
          <w:rFonts w:hint="default"/>
        </w:rPr>
      </w:pPr>
      <w:r>
        <w:rPr>
          <w:rFonts w:hint="default"/>
        </w:rPr>
        <w:t>知识管理实现了从引进到创新的转变。在初期主要借鉴香港经验和国际通行做法，如参考张伟远教授提出的国际资历框架对接十条标准。随着合作深入，通过培训工作坊培养了350多人次的专业人才，建立了共同的专业语言和工作方式，并编写了详细的操作指南，形成了可复制的工作范本。特别是在质量保障体系建设中，创新性地开发了适合本地实际的评审标准和流程，如采用"知识、技能、能力"三维度等本土化创新，展现了知识管理的成效。</w:t>
      </w:r>
    </w:p>
    <w:p w14:paraId="2353F072">
      <w:pPr>
        <w:ind w:firstLine="480" w:firstLineChars="200"/>
        <w:outlineLvl w:val="9"/>
        <w:rPr>
          <w:rFonts w:hint="eastAsia" w:ascii="楷体" w:hAnsi="楷体" w:eastAsia="宋体" w:cs="楷体"/>
          <w:sz w:val="24"/>
        </w:rPr>
      </w:pPr>
      <w:r>
        <w:rPr>
          <w:rFonts w:hint="eastAsia" w:ascii="楷体" w:hAnsi="楷体" w:eastAsia="宋体" w:cs="楷体"/>
          <w:sz w:val="24"/>
        </w:rPr>
        <w:t>通过</w:t>
      </w:r>
      <w:r>
        <w:rPr>
          <w:rFonts w:hint="eastAsia" w:ascii="楷体" w:hAnsi="楷体" w:eastAsia="宋体" w:cs="楷体"/>
          <w:sz w:val="24"/>
          <w:lang w:val="en-US" w:eastAsia="zh-CN"/>
        </w:rPr>
        <w:t>多次</w:t>
      </w:r>
      <w:r>
        <w:rPr>
          <w:rFonts w:hint="eastAsia" w:ascii="楷体" w:hAnsi="楷体" w:eastAsia="宋体" w:cs="楷体"/>
          <w:sz w:val="24"/>
        </w:rPr>
        <w:t>培训，广东了解到基于资历框架的评审分为课程评审和机构评审两种类型。但是对其中出现的许多概念都有理解困难。</w:t>
      </w:r>
    </w:p>
    <w:p w14:paraId="26FB07EF">
      <w:pPr>
        <w:ind w:firstLine="480" w:firstLineChars="200"/>
        <w:outlineLvl w:val="9"/>
        <w:rPr>
          <w:rFonts w:hint="eastAsia" w:ascii="楷体" w:hAnsi="楷体" w:eastAsia="宋体" w:cs="楷体"/>
          <w:sz w:val="24"/>
        </w:rPr>
      </w:pPr>
      <w:r>
        <w:rPr>
          <w:rFonts w:hint="eastAsia" w:ascii="楷体" w:hAnsi="楷体" w:eastAsia="宋体" w:cs="楷体"/>
          <w:sz w:val="24"/>
          <w:lang w:val="en-US" w:eastAsia="zh-CN"/>
        </w:rPr>
        <w:t>以</w:t>
      </w:r>
      <w:r>
        <w:rPr>
          <w:rFonts w:hint="eastAsia" w:ascii="楷体" w:hAnsi="楷体" w:eastAsia="宋体" w:cs="楷体"/>
          <w:sz w:val="24"/>
        </w:rPr>
        <w:t>“四阶段质量保障”</w:t>
      </w:r>
      <w:r>
        <w:rPr>
          <w:rFonts w:hint="eastAsia" w:ascii="楷体" w:hAnsi="楷体" w:eastAsia="宋体" w:cs="楷体"/>
          <w:sz w:val="24"/>
          <w:lang w:val="en-US" w:eastAsia="zh-CN"/>
        </w:rPr>
        <w:t>概念为例</w:t>
      </w:r>
      <w:r>
        <w:rPr>
          <w:rFonts w:hint="eastAsia" w:ascii="楷体" w:hAnsi="楷体" w:eastAsia="宋体" w:cs="楷体"/>
          <w:sz w:val="24"/>
        </w:rPr>
        <w:t>，尽管</w:t>
      </w:r>
      <w:r>
        <w:rPr>
          <w:rFonts w:hint="eastAsia" w:ascii="楷体" w:hAnsi="楷体" w:eastAsia="宋体" w:cs="楷体"/>
          <w:sz w:val="24"/>
          <w:lang w:val="en-US" w:eastAsia="zh-CN"/>
        </w:rPr>
        <w:t>经过解释，大部分专家对此概念有了初步理解，</w:t>
      </w:r>
      <w:r>
        <w:rPr>
          <w:rFonts w:hint="eastAsia" w:ascii="楷体" w:hAnsi="楷体" w:eastAsia="宋体" w:cs="楷体"/>
          <w:sz w:val="24"/>
        </w:rPr>
        <w:t>但</w:t>
      </w:r>
      <w:r>
        <w:rPr>
          <w:rFonts w:hint="eastAsia" w:ascii="楷体" w:hAnsi="楷体" w:eastAsia="宋体" w:cs="楷体"/>
          <w:sz w:val="24"/>
          <w:lang w:val="en-US" w:eastAsia="zh-CN"/>
        </w:rPr>
        <w:t>对</w:t>
      </w:r>
      <w:r>
        <w:rPr>
          <w:rFonts w:hint="eastAsia" w:ascii="楷体" w:hAnsi="楷体" w:eastAsia="宋体" w:cs="楷体"/>
          <w:sz w:val="24"/>
        </w:rPr>
        <w:t>其与整个质量保障体系的逻辑关系并不十分清楚</w:t>
      </w:r>
      <w:r>
        <w:rPr>
          <w:rFonts w:hint="eastAsia" w:ascii="楷体" w:hAnsi="楷体" w:eastAsia="宋体" w:cs="楷体"/>
          <w:sz w:val="24"/>
          <w:lang w:eastAsia="zh-CN"/>
        </w:rPr>
        <w:t>。“</w:t>
      </w:r>
      <w:r>
        <w:rPr>
          <w:rFonts w:hint="eastAsia" w:ascii="楷体" w:hAnsi="楷体" w:eastAsia="宋体" w:cs="楷体"/>
          <w:sz w:val="24"/>
        </w:rPr>
        <w:t>四阶段质量保障</w:t>
      </w:r>
      <w:r>
        <w:rPr>
          <w:rFonts w:hint="eastAsia" w:ascii="楷体" w:hAnsi="楷体" w:eastAsia="宋体" w:cs="楷体"/>
          <w:sz w:val="24"/>
          <w:lang w:eastAsia="zh-CN"/>
        </w:rPr>
        <w:t>”</w:t>
      </w:r>
      <w:r>
        <w:rPr>
          <w:rFonts w:hint="eastAsia" w:ascii="楷体" w:hAnsi="楷体" w:eastAsia="宋体" w:cs="楷体"/>
          <w:sz w:val="24"/>
        </w:rPr>
        <w:t>既像是一种可以迁移使用的方法，又像是一种特定的程序。专家在最初产生了误解，把专属于课程评审的四阶段质量保障，理解为所有的评审类型</w:t>
      </w:r>
      <w:r>
        <w:rPr>
          <w:rFonts w:hint="eastAsia" w:ascii="楷体" w:hAnsi="楷体" w:eastAsia="宋体" w:cs="楷体"/>
          <w:sz w:val="24"/>
          <w:lang w:val="en-US" w:eastAsia="zh-CN"/>
        </w:rPr>
        <w:t>都需要的</w:t>
      </w:r>
      <w:r>
        <w:rPr>
          <w:rFonts w:hint="eastAsia" w:ascii="楷体" w:hAnsi="楷体" w:eastAsia="宋体" w:cs="楷体"/>
          <w:sz w:val="24"/>
        </w:rPr>
        <w:t>四阶段质量保障程序。</w:t>
      </w:r>
      <w:r>
        <w:rPr>
          <w:rFonts w:hint="eastAsia" w:ascii="楷体" w:hAnsi="楷体" w:eastAsia="宋体" w:cs="楷体"/>
          <w:sz w:val="24"/>
          <w:lang w:val="en-US" w:eastAsia="zh-CN"/>
        </w:rPr>
        <w:t>而这样的的误解，在粤港合作的初期，较为常见。</w:t>
      </w:r>
    </w:p>
    <w:p w14:paraId="37FB303A">
      <w:pPr>
        <w:ind w:firstLine="480" w:firstLineChars="200"/>
        <w:rPr>
          <w:rFonts w:hint="eastAsia" w:ascii="楷体" w:hAnsi="楷体" w:eastAsia="宋体" w:cs="楷体"/>
          <w:sz w:val="24"/>
        </w:rPr>
      </w:pPr>
      <w:r>
        <w:rPr>
          <w:rFonts w:hint="eastAsia" w:ascii="楷体" w:hAnsi="楷体" w:eastAsia="宋体" w:cs="楷体"/>
          <w:sz w:val="24"/>
          <w:lang w:val="en-US" w:eastAsia="zh-CN"/>
        </w:rPr>
        <w:t>比概念和内涵更难理解的是概念的社会文化语境。专家们十分不确定是否需要在</w:t>
      </w:r>
      <w:r>
        <w:rPr>
          <w:rFonts w:hint="eastAsia" w:ascii="楷体" w:hAnsi="楷体" w:eastAsia="宋体" w:cs="楷体"/>
          <w:sz w:val="24"/>
        </w:rPr>
        <w:t>广东建立四阶段保障制度，在广东承担与评审局对应角色的机构是什么？评审局这种“法定机构”的角色和性质到底是什么，在实践中仍然会造成一定的困惑</w:t>
      </w:r>
      <w:r>
        <w:rPr>
          <w:rFonts w:hint="eastAsia" w:ascii="楷体" w:hAnsi="楷体" w:eastAsia="宋体" w:cs="楷体"/>
          <w:sz w:val="24"/>
          <w:lang w:eastAsia="zh-CN"/>
        </w:rPr>
        <w:t>，</w:t>
      </w:r>
      <w:r>
        <w:rPr>
          <w:rFonts w:hint="eastAsia" w:ascii="楷体" w:hAnsi="楷体" w:eastAsia="宋体" w:cs="楷体"/>
          <w:sz w:val="24"/>
        </w:rPr>
        <w:t>以及涉及到更多的词汇</w:t>
      </w:r>
      <w:r>
        <w:rPr>
          <w:rFonts w:hint="eastAsia" w:ascii="楷体" w:hAnsi="楷体" w:eastAsia="宋体" w:cs="楷体"/>
          <w:sz w:val="24"/>
          <w:lang w:val="en-US" w:eastAsia="zh-CN"/>
        </w:rPr>
        <w:t>及表达</w:t>
      </w:r>
      <w:r>
        <w:rPr>
          <w:rFonts w:hint="eastAsia" w:ascii="楷体" w:hAnsi="楷体" w:eastAsia="宋体" w:cs="楷体"/>
          <w:sz w:val="24"/>
        </w:rPr>
        <w:t>差异。</w:t>
      </w:r>
    </w:p>
    <w:p w14:paraId="1FF3B972">
      <w:pPr>
        <w:ind w:firstLine="480" w:firstLineChars="200"/>
        <w:rPr>
          <w:rFonts w:hint="eastAsia" w:ascii="楷体" w:hAnsi="楷体" w:eastAsia="宋体" w:cs="楷体"/>
          <w:sz w:val="24"/>
        </w:rPr>
      </w:pPr>
      <w:r>
        <w:rPr>
          <w:rFonts w:hint="eastAsia" w:ascii="楷体" w:hAnsi="楷体" w:eastAsia="宋体" w:cs="楷体"/>
          <w:sz w:val="24"/>
        </w:rPr>
        <w:t>香港的学术及职业资历评审局负责的质量保障制度是香港教育质量保障制度的一个板块，除此之外，高等教育中由公币资助的九大所高校和基础教育拥有自己的质量保障体系。根据法律，评审局主要负责九大所以外的高等教育和所有的职业教育的质量保障。香港评审局的官网罗列了其所负责的评审服务：资历架构相关评审、四阶段质素保证程序、学术评审、职业及专业资历评审、机构评审</w:t>
      </w:r>
      <w:r>
        <w:rPr>
          <w:rStyle w:val="12"/>
          <w:rFonts w:hint="eastAsia" w:ascii="楷体" w:hAnsi="楷体" w:eastAsia="宋体" w:cs="楷体"/>
          <w:sz w:val="24"/>
        </w:rPr>
        <w:footnoteReference w:id="0"/>
      </w:r>
      <w:r>
        <w:rPr>
          <w:rFonts w:hint="eastAsia" w:ascii="楷体" w:hAnsi="楷体" w:eastAsia="宋体" w:cs="楷体"/>
          <w:sz w:val="24"/>
        </w:rPr>
        <w:t>，但这五种评审服务类型是有交叉重叠的，对于广东的专家来说，理解起来上有困难的。</w:t>
      </w:r>
    </w:p>
    <w:p w14:paraId="0F612912">
      <w:pPr>
        <w:ind w:firstLine="480" w:firstLineChars="200"/>
        <w:rPr>
          <w:rFonts w:hint="default" w:ascii="楷体" w:hAnsi="楷体" w:eastAsia="宋体" w:cs="楷体"/>
          <w:sz w:val="24"/>
          <w:lang w:val="en-US"/>
        </w:rPr>
      </w:pPr>
      <w:r>
        <w:rPr>
          <w:rFonts w:hint="eastAsia" w:ascii="楷体" w:hAnsi="楷体" w:eastAsia="宋体" w:cs="楷体"/>
          <w:sz w:val="24"/>
        </w:rPr>
        <w:t>若非对香港治理结构、社会文化有充分了解，很难理解香港评审局质量保障的体系结构及内涵。反过来，香港也在通过这个机会了解广东的教育制度，广东的产教融合、职教高考等等</w:t>
      </w:r>
      <w:r>
        <w:rPr>
          <w:rFonts w:hint="eastAsia" w:ascii="楷体" w:hAnsi="楷体" w:eastAsia="宋体" w:cs="楷体"/>
          <w:sz w:val="24"/>
          <w:lang w:val="en-US" w:eastAsia="zh-CN"/>
        </w:rPr>
        <w:t>对于他们也是较难理解的概念。同时，一些内地习惯的“高地”等表达也是他们需要学习的知识：</w:t>
      </w:r>
    </w:p>
    <w:p w14:paraId="5A4ACA83">
      <w:pPr>
        <w:ind w:firstLine="420" w:firstLineChars="200"/>
        <w:jc w:val="left"/>
        <w:rPr>
          <w:rFonts w:ascii="楷体" w:hAnsi="楷体" w:eastAsia="楷体" w:cs="楷体"/>
          <w:szCs w:val="21"/>
        </w:rPr>
      </w:pPr>
      <w:r>
        <w:rPr>
          <w:rFonts w:hint="eastAsia" w:ascii="楷体" w:hAnsi="楷体" w:eastAsia="楷体" w:cs="楷体"/>
          <w:szCs w:val="21"/>
        </w:rPr>
        <w:t>“请问粤港教育高地的打造是会划定一片土地，建造一个园区吗？还是一种比较的说法？”（香港资历架构，Y先生）</w:t>
      </w:r>
    </w:p>
    <w:p w14:paraId="2ED29B5B">
      <w:pPr>
        <w:ind w:firstLine="480" w:firstLineChars="200"/>
        <w:rPr>
          <w:rFonts w:ascii="楷体" w:hAnsi="楷体" w:eastAsia="宋体" w:cs="楷体"/>
          <w:sz w:val="24"/>
        </w:rPr>
      </w:pPr>
      <w:r>
        <w:rPr>
          <w:rFonts w:hint="eastAsia" w:ascii="楷体" w:hAnsi="楷体" w:eastAsia="宋体" w:cs="楷体"/>
          <w:sz w:val="24"/>
        </w:rPr>
        <w:t>学习活动为代表的知识再生产活动是公共管理活动的重要内容，政策执行其实就是将政策文本转化为政策行动方案的知识再生产过程</w:t>
      </w:r>
      <w:r>
        <w:rPr>
          <w:rStyle w:val="12"/>
          <w:rFonts w:hint="eastAsia" w:ascii="楷体" w:hAnsi="楷体" w:eastAsia="宋体" w:cs="楷体"/>
          <w:sz w:val="24"/>
        </w:rPr>
        <w:footnoteReference w:id="1"/>
      </w:r>
      <w:r>
        <w:rPr>
          <w:rFonts w:hint="eastAsia" w:ascii="楷体" w:hAnsi="楷体" w:eastAsia="宋体" w:cs="楷体"/>
          <w:sz w:val="24"/>
        </w:rPr>
        <w:t>，在具体的协同治理过程中，这种知识再生产过程则会幻化出政府间学习、跨文化学习、组织学习等等不同层次、类型的学习实践。政策执行过程中的知识生产是实践性知识的生产。</w:t>
      </w:r>
    </w:p>
    <w:p w14:paraId="7CC1D3E8">
      <w:pPr>
        <w:keepNext w:val="0"/>
        <w:keepLines w:val="0"/>
        <w:pageBreakBefore w:val="0"/>
        <w:widowControl/>
        <w:numPr>
          <w:ilvl w:val="-1"/>
          <w:numId w:val="0"/>
        </w:numPr>
        <w:kinsoku/>
        <w:wordWrap/>
        <w:overflowPunct/>
        <w:topLinePunct w:val="0"/>
        <w:autoSpaceDE/>
        <w:autoSpaceDN/>
        <w:bidi w:val="0"/>
        <w:adjustRightInd/>
        <w:snapToGrid/>
        <w:ind w:left="0" w:firstLine="420" w:firstLineChars="200"/>
        <w:jc w:val="left"/>
        <w:textAlignment w:val="auto"/>
        <w:rPr>
          <w:rFonts w:hint="eastAsia" w:ascii="楷体" w:hAnsi="楷体" w:eastAsia="楷体" w:cs="楷体"/>
          <w:szCs w:val="21"/>
          <w:lang w:val="en-US" w:eastAsia="zh-CN"/>
        </w:rPr>
      </w:pPr>
    </w:p>
    <w:p w14:paraId="3D188DFD">
      <w:pPr>
        <w:ind w:firstLine="420" w:firstLineChars="200"/>
        <w:rPr>
          <w:rFonts w:hint="default"/>
        </w:rPr>
      </w:pPr>
    </w:p>
    <w:p w14:paraId="0793F2D5">
      <w:pPr>
        <w:jc w:val="center"/>
        <w:rPr>
          <w:rFonts w:ascii="Times New Roman" w:eastAsia="宋体"/>
          <w:b/>
          <w:bCs/>
          <w:szCs w:val="21"/>
        </w:rPr>
      </w:pPr>
      <w:r>
        <w:rPr>
          <w:rFonts w:hint="eastAsia" w:ascii="Times New Roman" w:eastAsia="宋体"/>
          <w:b/>
          <w:bCs/>
          <w:szCs w:val="21"/>
        </w:rPr>
        <w:t>表2 粤港质量保障机制词汇对照表</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90"/>
        <w:gridCol w:w="4132"/>
      </w:tblGrid>
      <w:tr w14:paraId="2588B3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pct"/>
            <w:tcBorders>
              <w:top w:val="single" w:color="auto" w:sz="4" w:space="0"/>
              <w:left w:val="single" w:color="auto" w:sz="4" w:space="0"/>
              <w:bottom w:val="single" w:color="auto" w:sz="4" w:space="0"/>
              <w:right w:val="single" w:color="auto" w:sz="4" w:space="0"/>
            </w:tcBorders>
          </w:tcPr>
          <w:p w14:paraId="31ECE3E3">
            <w:pPr>
              <w:spacing w:before="159" w:beforeLines="50" w:after="159" w:afterLines="50" w:line="300" w:lineRule="auto"/>
              <w:jc w:val="center"/>
              <w:outlineLvl w:val="1"/>
              <w:rPr>
                <w:rFonts w:ascii="黑体" w:hAnsi="黑体" w:eastAsia="黑体" w:cs="黑体"/>
                <w:szCs w:val="21"/>
              </w:rPr>
            </w:pPr>
            <w:r>
              <w:rPr>
                <w:rFonts w:hint="eastAsia" w:ascii="黑体" w:hAnsi="黑体" w:eastAsia="黑体" w:cs="黑体"/>
                <w:szCs w:val="21"/>
              </w:rPr>
              <w:t>香港用法</w:t>
            </w:r>
          </w:p>
        </w:tc>
        <w:tc>
          <w:tcPr>
            <w:tcW w:w="2424" w:type="pct"/>
            <w:tcBorders>
              <w:top w:val="single" w:color="auto" w:sz="4" w:space="0"/>
              <w:left w:val="single" w:color="auto" w:sz="4" w:space="0"/>
              <w:bottom w:val="single" w:color="auto" w:sz="4" w:space="0"/>
              <w:right w:val="single" w:color="auto" w:sz="4" w:space="0"/>
            </w:tcBorders>
          </w:tcPr>
          <w:p w14:paraId="1828C699">
            <w:pPr>
              <w:spacing w:before="159" w:beforeLines="50" w:after="159" w:afterLines="50" w:line="300" w:lineRule="auto"/>
              <w:jc w:val="center"/>
              <w:outlineLvl w:val="1"/>
              <w:rPr>
                <w:rFonts w:ascii="黑体" w:hAnsi="黑体" w:eastAsia="黑体" w:cs="黑体"/>
                <w:szCs w:val="21"/>
              </w:rPr>
            </w:pPr>
            <w:r>
              <w:rPr>
                <w:rFonts w:hint="eastAsia" w:ascii="黑体" w:hAnsi="黑体" w:eastAsia="黑体" w:cs="黑体"/>
                <w:szCs w:val="21"/>
              </w:rPr>
              <w:t>广东用法</w:t>
            </w:r>
          </w:p>
        </w:tc>
      </w:tr>
      <w:tr w14:paraId="5F07A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pct"/>
            <w:tcBorders>
              <w:top w:val="single" w:color="auto" w:sz="4" w:space="0"/>
              <w:left w:val="single" w:color="auto" w:sz="4" w:space="0"/>
              <w:bottom w:val="single" w:color="auto" w:sz="4" w:space="0"/>
              <w:right w:val="single" w:color="auto" w:sz="4" w:space="0"/>
            </w:tcBorders>
            <w:vAlign w:val="center"/>
          </w:tcPr>
          <w:p w14:paraId="4544FBD4">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参照</w:t>
            </w:r>
          </w:p>
        </w:tc>
        <w:tc>
          <w:tcPr>
            <w:tcW w:w="2424" w:type="pct"/>
            <w:tcBorders>
              <w:top w:val="single" w:color="auto" w:sz="4" w:space="0"/>
              <w:left w:val="single" w:color="auto" w:sz="4" w:space="0"/>
              <w:bottom w:val="single" w:color="auto" w:sz="4" w:space="0"/>
              <w:right w:val="single" w:color="auto" w:sz="4" w:space="0"/>
            </w:tcBorders>
            <w:vAlign w:val="center"/>
          </w:tcPr>
          <w:p w14:paraId="289E9A74">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对接</w:t>
            </w:r>
          </w:p>
        </w:tc>
      </w:tr>
      <w:tr w14:paraId="01F7D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pct"/>
            <w:tcBorders>
              <w:top w:val="single" w:color="auto" w:sz="4" w:space="0"/>
              <w:left w:val="single" w:color="auto" w:sz="4" w:space="0"/>
              <w:bottom w:val="single" w:color="auto" w:sz="4" w:space="0"/>
              <w:right w:val="single" w:color="auto" w:sz="4" w:space="0"/>
            </w:tcBorders>
            <w:vAlign w:val="center"/>
          </w:tcPr>
          <w:p w14:paraId="0201245F">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课程</w:t>
            </w:r>
          </w:p>
        </w:tc>
        <w:tc>
          <w:tcPr>
            <w:tcW w:w="2424" w:type="pct"/>
            <w:tcBorders>
              <w:top w:val="single" w:color="auto" w:sz="4" w:space="0"/>
              <w:left w:val="single" w:color="auto" w:sz="4" w:space="0"/>
              <w:bottom w:val="single" w:color="auto" w:sz="4" w:space="0"/>
              <w:right w:val="single" w:color="auto" w:sz="4" w:space="0"/>
            </w:tcBorders>
            <w:vAlign w:val="center"/>
          </w:tcPr>
          <w:p w14:paraId="10B9F127">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成果</w:t>
            </w:r>
          </w:p>
        </w:tc>
      </w:tr>
      <w:tr w14:paraId="2FF22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pct"/>
            <w:tcBorders>
              <w:top w:val="single" w:color="auto" w:sz="4" w:space="0"/>
              <w:left w:val="single" w:color="auto" w:sz="4" w:space="0"/>
              <w:bottom w:val="single" w:color="auto" w:sz="4" w:space="0"/>
              <w:right w:val="single" w:color="auto" w:sz="4" w:space="0"/>
            </w:tcBorders>
            <w:vAlign w:val="center"/>
          </w:tcPr>
          <w:p w14:paraId="054DCD23">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名衔</w:t>
            </w:r>
          </w:p>
        </w:tc>
        <w:tc>
          <w:tcPr>
            <w:tcW w:w="2424" w:type="pct"/>
            <w:tcBorders>
              <w:top w:val="single" w:color="auto" w:sz="4" w:space="0"/>
              <w:left w:val="single" w:color="auto" w:sz="4" w:space="0"/>
              <w:bottom w:val="single" w:color="auto" w:sz="4" w:space="0"/>
              <w:right w:val="single" w:color="auto" w:sz="4" w:space="0"/>
            </w:tcBorders>
            <w:vAlign w:val="center"/>
          </w:tcPr>
          <w:p w14:paraId="4F00FE69">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名衔</w:t>
            </w:r>
          </w:p>
        </w:tc>
      </w:tr>
      <w:tr w14:paraId="5EBAC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pct"/>
            <w:tcBorders>
              <w:top w:val="single" w:color="auto" w:sz="4" w:space="0"/>
              <w:left w:val="single" w:color="auto" w:sz="4" w:space="0"/>
              <w:bottom w:val="single" w:color="auto" w:sz="4" w:space="0"/>
              <w:right w:val="single" w:color="auto" w:sz="4" w:space="0"/>
            </w:tcBorders>
            <w:vAlign w:val="center"/>
          </w:tcPr>
          <w:p w14:paraId="56F0040A">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能力范畴</w:t>
            </w:r>
          </w:p>
        </w:tc>
        <w:tc>
          <w:tcPr>
            <w:tcW w:w="2424" w:type="pct"/>
            <w:tcBorders>
              <w:top w:val="single" w:color="auto" w:sz="4" w:space="0"/>
              <w:left w:val="single" w:color="auto" w:sz="4" w:space="0"/>
              <w:bottom w:val="single" w:color="auto" w:sz="4" w:space="0"/>
              <w:right w:val="single" w:color="auto" w:sz="4" w:space="0"/>
            </w:tcBorders>
            <w:vAlign w:val="center"/>
          </w:tcPr>
          <w:p w14:paraId="28FBF3DF">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能力范围</w:t>
            </w:r>
          </w:p>
        </w:tc>
      </w:tr>
      <w:tr w14:paraId="691D2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pct"/>
            <w:tcBorders>
              <w:top w:val="single" w:color="auto" w:sz="4" w:space="0"/>
              <w:left w:val="single" w:color="auto" w:sz="4" w:space="0"/>
              <w:bottom w:val="single" w:color="auto" w:sz="4" w:space="0"/>
              <w:right w:val="single" w:color="auto" w:sz="4" w:space="0"/>
            </w:tcBorders>
            <w:vAlign w:val="center"/>
          </w:tcPr>
          <w:p w14:paraId="22B35481">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切合目标</w:t>
            </w:r>
          </w:p>
        </w:tc>
        <w:tc>
          <w:tcPr>
            <w:tcW w:w="2424" w:type="pct"/>
            <w:tcBorders>
              <w:top w:val="single" w:color="auto" w:sz="4" w:space="0"/>
              <w:left w:val="single" w:color="auto" w:sz="4" w:space="0"/>
              <w:bottom w:val="single" w:color="auto" w:sz="4" w:space="0"/>
              <w:right w:val="single" w:color="auto" w:sz="4" w:space="0"/>
            </w:tcBorders>
            <w:vAlign w:val="center"/>
          </w:tcPr>
          <w:p w14:paraId="15016FC2">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符合目标</w:t>
            </w:r>
          </w:p>
        </w:tc>
      </w:tr>
      <w:tr w14:paraId="3A9130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pct"/>
            <w:tcBorders>
              <w:top w:val="single" w:color="auto" w:sz="4" w:space="0"/>
              <w:left w:val="single" w:color="auto" w:sz="4" w:space="0"/>
              <w:bottom w:val="single" w:color="auto" w:sz="4" w:space="0"/>
              <w:right w:val="single" w:color="auto" w:sz="4" w:space="0"/>
            </w:tcBorders>
            <w:vAlign w:val="center"/>
          </w:tcPr>
          <w:p w14:paraId="799792E5">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区别方式</w:t>
            </w:r>
          </w:p>
        </w:tc>
        <w:tc>
          <w:tcPr>
            <w:tcW w:w="2424" w:type="pct"/>
            <w:tcBorders>
              <w:top w:val="single" w:color="auto" w:sz="4" w:space="0"/>
              <w:left w:val="single" w:color="auto" w:sz="4" w:space="0"/>
              <w:bottom w:val="single" w:color="auto" w:sz="4" w:space="0"/>
              <w:right w:val="single" w:color="auto" w:sz="4" w:space="0"/>
            </w:tcBorders>
            <w:vAlign w:val="center"/>
          </w:tcPr>
          <w:p w14:paraId="06F7E22C">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特殊处理</w:t>
            </w:r>
          </w:p>
        </w:tc>
      </w:tr>
      <w:tr w14:paraId="61D8DB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pct"/>
            <w:tcBorders>
              <w:top w:val="single" w:color="auto" w:sz="4" w:space="0"/>
              <w:left w:val="single" w:color="auto" w:sz="4" w:space="0"/>
              <w:bottom w:val="single" w:color="auto" w:sz="4" w:space="0"/>
              <w:right w:val="single" w:color="auto" w:sz="4" w:space="0"/>
            </w:tcBorders>
            <w:vAlign w:val="center"/>
          </w:tcPr>
          <w:p w14:paraId="294FDF6B">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四阶段</w:t>
            </w:r>
          </w:p>
          <w:p w14:paraId="346EFCB8">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质素保证程序</w:t>
            </w:r>
          </w:p>
        </w:tc>
        <w:tc>
          <w:tcPr>
            <w:tcW w:w="2424" w:type="pct"/>
            <w:tcBorders>
              <w:top w:val="single" w:color="auto" w:sz="4" w:space="0"/>
              <w:left w:val="single" w:color="auto" w:sz="4" w:space="0"/>
              <w:bottom w:val="single" w:color="auto" w:sz="4" w:space="0"/>
              <w:right w:val="single" w:color="auto" w:sz="4" w:space="0"/>
            </w:tcBorders>
            <w:vAlign w:val="center"/>
          </w:tcPr>
          <w:p w14:paraId="7598D21C">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四阶段递进</w:t>
            </w:r>
          </w:p>
          <w:p w14:paraId="745D6DC3">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质量保证程序</w:t>
            </w:r>
          </w:p>
        </w:tc>
      </w:tr>
      <w:tr w14:paraId="6A784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pct"/>
            <w:tcBorders>
              <w:top w:val="single" w:color="auto" w:sz="4" w:space="0"/>
              <w:left w:val="single" w:color="auto" w:sz="4" w:space="0"/>
              <w:bottom w:val="single" w:color="auto" w:sz="4" w:space="0"/>
              <w:right w:val="single" w:color="auto" w:sz="4" w:space="0"/>
            </w:tcBorders>
            <w:vAlign w:val="center"/>
          </w:tcPr>
          <w:p w14:paraId="2C62C0EC">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先设条件</w:t>
            </w:r>
          </w:p>
        </w:tc>
        <w:tc>
          <w:tcPr>
            <w:tcW w:w="2424" w:type="pct"/>
            <w:tcBorders>
              <w:top w:val="single" w:color="auto" w:sz="4" w:space="0"/>
              <w:left w:val="single" w:color="auto" w:sz="4" w:space="0"/>
              <w:bottom w:val="single" w:color="auto" w:sz="4" w:space="0"/>
              <w:right w:val="single" w:color="auto" w:sz="4" w:space="0"/>
            </w:tcBorders>
            <w:vAlign w:val="center"/>
          </w:tcPr>
          <w:p w14:paraId="1689F10D">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前提条件</w:t>
            </w:r>
          </w:p>
        </w:tc>
      </w:tr>
      <w:tr w14:paraId="713EB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pct"/>
            <w:tcBorders>
              <w:top w:val="single" w:color="auto" w:sz="4" w:space="0"/>
              <w:left w:val="single" w:color="auto" w:sz="4" w:space="0"/>
              <w:bottom w:val="single" w:color="auto" w:sz="4" w:space="0"/>
              <w:right w:val="single" w:color="auto" w:sz="4" w:space="0"/>
            </w:tcBorders>
            <w:vAlign w:val="center"/>
          </w:tcPr>
          <w:p w14:paraId="2D2EFD72">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学科范围</w:t>
            </w:r>
          </w:p>
        </w:tc>
        <w:tc>
          <w:tcPr>
            <w:tcW w:w="2424" w:type="pct"/>
            <w:tcBorders>
              <w:top w:val="single" w:color="auto" w:sz="4" w:space="0"/>
              <w:left w:val="single" w:color="auto" w:sz="4" w:space="0"/>
              <w:bottom w:val="single" w:color="auto" w:sz="4" w:space="0"/>
              <w:right w:val="single" w:color="auto" w:sz="4" w:space="0"/>
            </w:tcBorders>
            <w:vAlign w:val="center"/>
          </w:tcPr>
          <w:p w14:paraId="08AC14E8">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专业</w:t>
            </w:r>
          </w:p>
        </w:tc>
      </w:tr>
    </w:tbl>
    <w:p w14:paraId="0211243E">
      <w:pPr>
        <w:ind w:firstLine="420" w:firstLineChars="200"/>
        <w:rPr>
          <w:rFonts w:hint="default"/>
        </w:rPr>
      </w:pPr>
    </w:p>
    <w:tbl>
      <w:tblPr>
        <w:tblStyle w:val="7"/>
        <w:tblW w:w="85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2"/>
        <w:gridCol w:w="2042"/>
        <w:gridCol w:w="981"/>
        <w:gridCol w:w="1061"/>
        <w:gridCol w:w="2389"/>
      </w:tblGrid>
      <w:tr w14:paraId="5F6EC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4084" w:type="dxa"/>
            <w:gridSpan w:val="2"/>
            <w:vAlign w:val="center"/>
          </w:tcPr>
          <w:p w14:paraId="124111E7">
            <w:pPr>
              <w:tabs>
                <w:tab w:val="center" w:pos="4201"/>
                <w:tab w:val="right" w:leader="dot" w:pos="9298"/>
              </w:tabs>
              <w:spacing w:line="360" w:lineRule="exact"/>
              <w:jc w:val="center"/>
              <w:rPr>
                <w:rFonts w:ascii="黑体" w:hAnsi="黑体" w:eastAsia="黑体" w:cs="黑体"/>
                <w:szCs w:val="21"/>
              </w:rPr>
            </w:pPr>
            <w:r>
              <w:rPr>
                <w:rFonts w:hint="eastAsia" w:ascii="黑体" w:hAnsi="黑体" w:eastAsia="黑体" w:cs="黑体"/>
                <w:szCs w:val="21"/>
              </w:rPr>
              <w:t>香港</w:t>
            </w:r>
          </w:p>
        </w:tc>
        <w:tc>
          <w:tcPr>
            <w:tcW w:w="4431" w:type="dxa"/>
            <w:gridSpan w:val="3"/>
            <w:vAlign w:val="center"/>
          </w:tcPr>
          <w:p w14:paraId="57A44770">
            <w:pPr>
              <w:tabs>
                <w:tab w:val="center" w:pos="4201"/>
                <w:tab w:val="right" w:leader="dot" w:pos="9298"/>
              </w:tabs>
              <w:spacing w:line="360" w:lineRule="exact"/>
              <w:jc w:val="center"/>
              <w:rPr>
                <w:rFonts w:ascii="黑体" w:hAnsi="黑体" w:eastAsia="黑体" w:cs="黑体"/>
                <w:szCs w:val="21"/>
              </w:rPr>
            </w:pPr>
            <w:r>
              <w:rPr>
                <w:rFonts w:hint="eastAsia" w:ascii="黑体" w:hAnsi="黑体" w:eastAsia="黑体" w:cs="黑体"/>
                <w:szCs w:val="21"/>
              </w:rPr>
              <w:t>广东</w:t>
            </w:r>
          </w:p>
        </w:tc>
      </w:tr>
      <w:tr w14:paraId="48F2EE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2042" w:type="dxa"/>
            <w:vAlign w:val="center"/>
          </w:tcPr>
          <w:p w14:paraId="76BB72FD">
            <w:pPr>
              <w:tabs>
                <w:tab w:val="center" w:pos="4201"/>
                <w:tab w:val="right" w:leader="dot" w:pos="9298"/>
              </w:tabs>
              <w:spacing w:line="360" w:lineRule="exact"/>
              <w:jc w:val="center"/>
              <w:rPr>
                <w:rFonts w:ascii="黑体" w:hAnsi="黑体" w:eastAsia="黑体" w:cs="黑体"/>
                <w:szCs w:val="21"/>
              </w:rPr>
            </w:pPr>
            <w:r>
              <w:rPr>
                <w:rFonts w:hint="eastAsia" w:ascii="黑体" w:hAnsi="黑体" w:eastAsia="黑体" w:cs="黑体"/>
                <w:szCs w:val="21"/>
              </w:rPr>
              <w:t>资历类型</w:t>
            </w:r>
          </w:p>
        </w:tc>
        <w:tc>
          <w:tcPr>
            <w:tcW w:w="2042" w:type="dxa"/>
            <w:vAlign w:val="center"/>
          </w:tcPr>
          <w:p w14:paraId="3645361F">
            <w:pPr>
              <w:tabs>
                <w:tab w:val="center" w:pos="4201"/>
                <w:tab w:val="right" w:leader="dot" w:pos="9298"/>
              </w:tabs>
              <w:spacing w:line="360" w:lineRule="exact"/>
              <w:jc w:val="center"/>
              <w:rPr>
                <w:rFonts w:ascii="黑体" w:hAnsi="黑体" w:eastAsia="黑体" w:cs="黑体"/>
                <w:szCs w:val="21"/>
              </w:rPr>
            </w:pPr>
            <w:r>
              <w:rPr>
                <w:rFonts w:hint="eastAsia" w:ascii="黑体" w:hAnsi="黑体" w:eastAsia="黑体" w:cs="黑体"/>
                <w:szCs w:val="21"/>
              </w:rPr>
              <w:t>资历</w:t>
            </w:r>
          </w:p>
        </w:tc>
        <w:tc>
          <w:tcPr>
            <w:tcW w:w="2042" w:type="dxa"/>
            <w:gridSpan w:val="2"/>
            <w:vAlign w:val="center"/>
          </w:tcPr>
          <w:p w14:paraId="26D8FE90">
            <w:pPr>
              <w:tabs>
                <w:tab w:val="center" w:pos="4201"/>
                <w:tab w:val="right" w:leader="dot" w:pos="9298"/>
              </w:tabs>
              <w:spacing w:line="360" w:lineRule="exact"/>
              <w:jc w:val="center"/>
              <w:rPr>
                <w:rFonts w:ascii="黑体" w:hAnsi="黑体" w:eastAsia="黑体" w:cs="黑体"/>
                <w:szCs w:val="21"/>
              </w:rPr>
            </w:pPr>
            <w:r>
              <w:rPr>
                <w:rFonts w:hint="eastAsia" w:ascii="黑体" w:hAnsi="黑体" w:eastAsia="黑体" w:cs="黑体"/>
                <w:szCs w:val="21"/>
              </w:rPr>
              <w:t>资历类型</w:t>
            </w:r>
          </w:p>
        </w:tc>
        <w:tc>
          <w:tcPr>
            <w:tcW w:w="2389" w:type="dxa"/>
            <w:vAlign w:val="center"/>
          </w:tcPr>
          <w:p w14:paraId="5E16AB04">
            <w:pPr>
              <w:tabs>
                <w:tab w:val="center" w:pos="4201"/>
                <w:tab w:val="right" w:leader="dot" w:pos="9298"/>
              </w:tabs>
              <w:spacing w:line="360" w:lineRule="exact"/>
              <w:jc w:val="center"/>
              <w:rPr>
                <w:rFonts w:ascii="黑体" w:hAnsi="黑体" w:eastAsia="黑体" w:cs="黑体"/>
                <w:szCs w:val="21"/>
              </w:rPr>
            </w:pPr>
            <w:r>
              <w:rPr>
                <w:rFonts w:hint="eastAsia" w:ascii="黑体" w:hAnsi="黑体" w:eastAsia="黑体" w:cs="黑体"/>
                <w:szCs w:val="21"/>
              </w:rPr>
              <w:t>资历</w:t>
            </w:r>
          </w:p>
        </w:tc>
      </w:tr>
      <w:tr w14:paraId="09C0E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2042" w:type="dxa"/>
            <w:vMerge w:val="restart"/>
            <w:vAlign w:val="center"/>
          </w:tcPr>
          <w:p w14:paraId="41D2DAE9">
            <w:pPr>
              <w:tabs>
                <w:tab w:val="center" w:pos="4201"/>
                <w:tab w:val="right" w:leader="dot" w:pos="9298"/>
              </w:tabs>
              <w:spacing w:line="360" w:lineRule="exact"/>
              <w:jc w:val="center"/>
              <w:rPr>
                <w:rFonts w:cs="仿宋_GB2312"/>
                <w:szCs w:val="21"/>
              </w:rPr>
            </w:pPr>
            <w:r>
              <w:rPr>
                <w:rFonts w:hint="eastAsia" w:cs="仿宋_GB2312"/>
                <w:szCs w:val="21"/>
              </w:rPr>
              <w:t>经进修课程取得的资历</w:t>
            </w:r>
          </w:p>
        </w:tc>
        <w:tc>
          <w:tcPr>
            <w:tcW w:w="2042" w:type="dxa"/>
            <w:vMerge w:val="restart"/>
            <w:vAlign w:val="center"/>
          </w:tcPr>
          <w:p w14:paraId="1491C5EB">
            <w:pPr>
              <w:tabs>
                <w:tab w:val="center" w:pos="4201"/>
                <w:tab w:val="right" w:leader="dot" w:pos="9298"/>
              </w:tabs>
              <w:spacing w:line="360" w:lineRule="exact"/>
              <w:jc w:val="center"/>
              <w:rPr>
                <w:rFonts w:cs="仿宋_GB2312"/>
                <w:szCs w:val="21"/>
              </w:rPr>
            </w:pPr>
            <w:r>
              <w:rPr>
                <w:rFonts w:hint="eastAsia" w:cs="仿宋_GB2312"/>
                <w:szCs w:val="21"/>
              </w:rPr>
              <w:t>应用学位课程</w:t>
            </w:r>
          </w:p>
        </w:tc>
        <w:tc>
          <w:tcPr>
            <w:tcW w:w="2042" w:type="dxa"/>
            <w:gridSpan w:val="2"/>
            <w:vAlign w:val="center"/>
          </w:tcPr>
          <w:p w14:paraId="61310A47">
            <w:pPr>
              <w:tabs>
                <w:tab w:val="center" w:pos="4201"/>
                <w:tab w:val="right" w:leader="dot" w:pos="9298"/>
              </w:tabs>
              <w:spacing w:line="360" w:lineRule="exact"/>
              <w:jc w:val="center"/>
              <w:rPr>
                <w:rFonts w:cs="仿宋_GB2312"/>
                <w:szCs w:val="21"/>
              </w:rPr>
            </w:pPr>
            <w:r>
              <w:rPr>
                <w:rFonts w:hint="eastAsia" w:cs="仿宋_GB2312"/>
                <w:szCs w:val="21"/>
              </w:rPr>
              <w:t>学业资历</w:t>
            </w:r>
          </w:p>
        </w:tc>
        <w:tc>
          <w:tcPr>
            <w:tcW w:w="2389" w:type="dxa"/>
            <w:vAlign w:val="center"/>
          </w:tcPr>
          <w:p w14:paraId="0B0859AA">
            <w:pPr>
              <w:tabs>
                <w:tab w:val="center" w:pos="4201"/>
                <w:tab w:val="right" w:leader="dot" w:pos="9298"/>
              </w:tabs>
              <w:spacing w:line="360" w:lineRule="exact"/>
              <w:jc w:val="center"/>
              <w:rPr>
                <w:rFonts w:cs="仿宋_GB2312"/>
                <w:szCs w:val="21"/>
              </w:rPr>
            </w:pPr>
            <w:r>
              <w:rPr>
                <w:rFonts w:hint="eastAsia" w:cs="仿宋_GB2312"/>
                <w:szCs w:val="21"/>
              </w:rPr>
              <w:t>学历／</w:t>
            </w:r>
            <w:r>
              <w:rPr>
                <w:rFonts w:cs="仿宋_GB2312"/>
                <w:szCs w:val="21"/>
              </w:rPr>
              <w:t>学位</w:t>
            </w:r>
          </w:p>
        </w:tc>
      </w:tr>
      <w:tr w14:paraId="386E6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2042" w:type="dxa"/>
            <w:vMerge w:val="continue"/>
            <w:vAlign w:val="center"/>
          </w:tcPr>
          <w:p w14:paraId="64D15039">
            <w:pPr>
              <w:tabs>
                <w:tab w:val="center" w:pos="4201"/>
                <w:tab w:val="right" w:leader="dot" w:pos="9298"/>
              </w:tabs>
              <w:spacing w:line="360" w:lineRule="exact"/>
              <w:jc w:val="center"/>
              <w:rPr>
                <w:rFonts w:cs="仿宋_GB2312"/>
                <w:szCs w:val="21"/>
              </w:rPr>
            </w:pPr>
          </w:p>
        </w:tc>
        <w:tc>
          <w:tcPr>
            <w:tcW w:w="2042" w:type="dxa"/>
            <w:vMerge w:val="continue"/>
            <w:shd w:val="clear" w:color="auto" w:fill="auto"/>
            <w:vAlign w:val="center"/>
          </w:tcPr>
          <w:p w14:paraId="5A939B05">
            <w:pPr>
              <w:tabs>
                <w:tab w:val="center" w:pos="4201"/>
                <w:tab w:val="right" w:leader="dot" w:pos="9298"/>
              </w:tabs>
              <w:spacing w:line="360" w:lineRule="exact"/>
              <w:jc w:val="center"/>
              <w:rPr>
                <w:rFonts w:cs="仿宋_GB2312"/>
                <w:szCs w:val="21"/>
              </w:rPr>
            </w:pPr>
          </w:p>
        </w:tc>
        <w:tc>
          <w:tcPr>
            <w:tcW w:w="981" w:type="dxa"/>
            <w:vMerge w:val="restart"/>
            <w:vAlign w:val="center"/>
          </w:tcPr>
          <w:p w14:paraId="736E657E">
            <w:pPr>
              <w:tabs>
                <w:tab w:val="center" w:pos="4201"/>
                <w:tab w:val="right" w:leader="dot" w:pos="9298"/>
              </w:tabs>
              <w:spacing w:line="360" w:lineRule="exact"/>
              <w:jc w:val="center"/>
              <w:rPr>
                <w:rFonts w:cs="仿宋_GB2312"/>
                <w:szCs w:val="21"/>
              </w:rPr>
            </w:pPr>
            <w:r>
              <w:rPr>
                <w:rFonts w:hint="eastAsia" w:cs="仿宋_GB2312"/>
                <w:szCs w:val="21"/>
              </w:rPr>
              <w:t>非学业资历</w:t>
            </w:r>
          </w:p>
        </w:tc>
        <w:tc>
          <w:tcPr>
            <w:tcW w:w="1061" w:type="dxa"/>
            <w:vMerge w:val="restart"/>
            <w:vAlign w:val="center"/>
          </w:tcPr>
          <w:p w14:paraId="32A41D13">
            <w:pPr>
              <w:tabs>
                <w:tab w:val="center" w:pos="4201"/>
                <w:tab w:val="right" w:leader="dot" w:pos="9298"/>
              </w:tabs>
              <w:spacing w:line="360" w:lineRule="exact"/>
              <w:jc w:val="center"/>
              <w:rPr>
                <w:rFonts w:cs="仿宋_GB2312"/>
                <w:szCs w:val="21"/>
              </w:rPr>
            </w:pPr>
            <w:r>
              <w:rPr>
                <w:rFonts w:hint="eastAsia" w:cs="仿宋_GB2312"/>
                <w:szCs w:val="21"/>
              </w:rPr>
              <w:t>培训资历</w:t>
            </w:r>
          </w:p>
        </w:tc>
        <w:tc>
          <w:tcPr>
            <w:tcW w:w="2389" w:type="dxa"/>
            <w:vAlign w:val="center"/>
          </w:tcPr>
          <w:p w14:paraId="684C4546">
            <w:pPr>
              <w:tabs>
                <w:tab w:val="center" w:pos="4201"/>
                <w:tab w:val="right" w:leader="dot" w:pos="9298"/>
              </w:tabs>
              <w:spacing w:line="360" w:lineRule="exact"/>
              <w:jc w:val="center"/>
              <w:rPr>
                <w:rFonts w:cs="仿宋_GB2312"/>
                <w:szCs w:val="21"/>
              </w:rPr>
            </w:pPr>
            <w:r>
              <w:rPr>
                <w:rFonts w:hint="eastAsia" w:cs="仿宋_GB2312"/>
                <w:szCs w:val="21"/>
              </w:rPr>
              <w:t>院校非学历教育培训证书</w:t>
            </w:r>
          </w:p>
        </w:tc>
      </w:tr>
      <w:tr w14:paraId="34A79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2" w:type="dxa"/>
            <w:vMerge w:val="continue"/>
            <w:vAlign w:val="center"/>
          </w:tcPr>
          <w:p w14:paraId="36F1C2E4">
            <w:pPr>
              <w:tabs>
                <w:tab w:val="center" w:pos="4201"/>
                <w:tab w:val="right" w:leader="dot" w:pos="9298"/>
              </w:tabs>
              <w:spacing w:line="360" w:lineRule="exact"/>
              <w:jc w:val="center"/>
              <w:rPr>
                <w:rFonts w:cs="仿宋_GB2312"/>
                <w:szCs w:val="21"/>
              </w:rPr>
            </w:pPr>
          </w:p>
        </w:tc>
        <w:tc>
          <w:tcPr>
            <w:tcW w:w="2042" w:type="dxa"/>
            <w:shd w:val="clear" w:color="auto" w:fill="auto"/>
            <w:vAlign w:val="center"/>
          </w:tcPr>
          <w:p w14:paraId="665BE996">
            <w:pPr>
              <w:tabs>
                <w:tab w:val="center" w:pos="4201"/>
                <w:tab w:val="right" w:leader="dot" w:pos="9298"/>
              </w:tabs>
              <w:spacing w:line="360" w:lineRule="exact"/>
              <w:jc w:val="center"/>
              <w:rPr>
                <w:rFonts w:cs="仿宋_GB2312"/>
                <w:szCs w:val="21"/>
              </w:rPr>
            </w:pPr>
            <w:r>
              <w:rPr>
                <w:rFonts w:hint="eastAsia" w:cs="仿宋_GB2312"/>
                <w:szCs w:val="21"/>
              </w:rPr>
              <w:t>持续专业培训计划课程</w:t>
            </w:r>
          </w:p>
        </w:tc>
        <w:tc>
          <w:tcPr>
            <w:tcW w:w="981" w:type="dxa"/>
            <w:vMerge w:val="continue"/>
            <w:vAlign w:val="center"/>
          </w:tcPr>
          <w:p w14:paraId="7965ABAC">
            <w:pPr>
              <w:tabs>
                <w:tab w:val="center" w:pos="4201"/>
                <w:tab w:val="right" w:leader="dot" w:pos="9298"/>
              </w:tabs>
              <w:spacing w:line="360" w:lineRule="exact"/>
              <w:jc w:val="center"/>
              <w:rPr>
                <w:rFonts w:cs="仿宋_GB2312"/>
                <w:szCs w:val="21"/>
              </w:rPr>
            </w:pPr>
          </w:p>
        </w:tc>
        <w:tc>
          <w:tcPr>
            <w:tcW w:w="1061" w:type="dxa"/>
            <w:vMerge w:val="continue"/>
            <w:vAlign w:val="center"/>
          </w:tcPr>
          <w:p w14:paraId="07EAE527">
            <w:pPr>
              <w:tabs>
                <w:tab w:val="center" w:pos="4201"/>
                <w:tab w:val="right" w:leader="dot" w:pos="9298"/>
              </w:tabs>
              <w:spacing w:line="360" w:lineRule="exact"/>
              <w:jc w:val="center"/>
              <w:rPr>
                <w:rFonts w:cs="仿宋_GB2312"/>
                <w:szCs w:val="21"/>
              </w:rPr>
            </w:pPr>
          </w:p>
        </w:tc>
        <w:tc>
          <w:tcPr>
            <w:tcW w:w="2389" w:type="dxa"/>
            <w:vAlign w:val="center"/>
          </w:tcPr>
          <w:p w14:paraId="0C8AA4A6">
            <w:pPr>
              <w:tabs>
                <w:tab w:val="center" w:pos="4201"/>
                <w:tab w:val="right" w:leader="dot" w:pos="9298"/>
              </w:tabs>
              <w:spacing w:line="360" w:lineRule="exact"/>
              <w:jc w:val="center"/>
              <w:rPr>
                <w:rFonts w:cs="仿宋_GB2312"/>
                <w:szCs w:val="21"/>
              </w:rPr>
            </w:pPr>
            <w:r>
              <w:rPr>
                <w:rFonts w:hint="eastAsia" w:cs="仿宋_GB2312"/>
                <w:szCs w:val="21"/>
              </w:rPr>
              <w:t>培训机构培训证书</w:t>
            </w:r>
          </w:p>
        </w:tc>
      </w:tr>
      <w:tr w14:paraId="5E662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2" w:type="dxa"/>
            <w:vMerge w:val="continue"/>
            <w:vAlign w:val="center"/>
          </w:tcPr>
          <w:p w14:paraId="339558F0">
            <w:pPr>
              <w:tabs>
                <w:tab w:val="center" w:pos="4201"/>
                <w:tab w:val="right" w:leader="dot" w:pos="9298"/>
              </w:tabs>
              <w:spacing w:line="360" w:lineRule="exact"/>
              <w:jc w:val="center"/>
              <w:rPr>
                <w:rFonts w:cs="仿宋_GB2312"/>
                <w:szCs w:val="21"/>
              </w:rPr>
            </w:pPr>
          </w:p>
        </w:tc>
        <w:tc>
          <w:tcPr>
            <w:tcW w:w="2042" w:type="dxa"/>
            <w:shd w:val="clear" w:color="auto" w:fill="auto"/>
            <w:vAlign w:val="center"/>
          </w:tcPr>
          <w:p w14:paraId="2ACFF337">
            <w:pPr>
              <w:tabs>
                <w:tab w:val="center" w:pos="4201"/>
                <w:tab w:val="right" w:leader="dot" w:pos="9298"/>
              </w:tabs>
              <w:spacing w:line="360" w:lineRule="exact"/>
              <w:jc w:val="center"/>
              <w:rPr>
                <w:rFonts w:cs="仿宋_GB2312"/>
                <w:szCs w:val="21"/>
              </w:rPr>
            </w:pPr>
            <w:r>
              <w:rPr>
                <w:rFonts w:hint="eastAsia" w:cs="仿宋_GB2312"/>
                <w:szCs w:val="21"/>
              </w:rPr>
              <w:t>非本地课程</w:t>
            </w:r>
          </w:p>
        </w:tc>
        <w:tc>
          <w:tcPr>
            <w:tcW w:w="981" w:type="dxa"/>
            <w:vMerge w:val="continue"/>
            <w:vAlign w:val="center"/>
          </w:tcPr>
          <w:p w14:paraId="7DE94C11">
            <w:pPr>
              <w:tabs>
                <w:tab w:val="center" w:pos="4201"/>
                <w:tab w:val="right" w:leader="dot" w:pos="9298"/>
              </w:tabs>
              <w:spacing w:line="360" w:lineRule="exact"/>
              <w:jc w:val="center"/>
              <w:rPr>
                <w:rFonts w:cs="仿宋_GB2312"/>
                <w:szCs w:val="21"/>
              </w:rPr>
            </w:pPr>
          </w:p>
        </w:tc>
        <w:tc>
          <w:tcPr>
            <w:tcW w:w="1061" w:type="dxa"/>
            <w:vMerge w:val="continue"/>
            <w:vAlign w:val="center"/>
          </w:tcPr>
          <w:p w14:paraId="29F139B4">
            <w:pPr>
              <w:tabs>
                <w:tab w:val="center" w:pos="4201"/>
                <w:tab w:val="right" w:leader="dot" w:pos="9298"/>
              </w:tabs>
              <w:spacing w:line="360" w:lineRule="exact"/>
              <w:jc w:val="center"/>
              <w:rPr>
                <w:rFonts w:cs="仿宋_GB2312"/>
                <w:szCs w:val="21"/>
              </w:rPr>
            </w:pPr>
          </w:p>
        </w:tc>
        <w:tc>
          <w:tcPr>
            <w:tcW w:w="2389" w:type="dxa"/>
            <w:vAlign w:val="center"/>
          </w:tcPr>
          <w:p w14:paraId="17220D55">
            <w:pPr>
              <w:tabs>
                <w:tab w:val="center" w:pos="4201"/>
                <w:tab w:val="right" w:leader="dot" w:pos="9298"/>
              </w:tabs>
              <w:spacing w:line="360" w:lineRule="exact"/>
              <w:jc w:val="center"/>
              <w:rPr>
                <w:rFonts w:cs="仿宋_GB2312"/>
                <w:szCs w:val="21"/>
              </w:rPr>
            </w:pPr>
            <w:r>
              <w:rPr>
                <w:rFonts w:hint="eastAsia" w:cs="仿宋_GB2312"/>
                <w:szCs w:val="21"/>
              </w:rPr>
              <w:t>企业培训（认证）证书</w:t>
            </w:r>
          </w:p>
        </w:tc>
      </w:tr>
      <w:tr w14:paraId="34FF4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2" w:type="dxa"/>
            <w:vMerge w:val="continue"/>
            <w:vAlign w:val="center"/>
          </w:tcPr>
          <w:p w14:paraId="35EAB219">
            <w:pPr>
              <w:tabs>
                <w:tab w:val="center" w:pos="4201"/>
                <w:tab w:val="right" w:leader="dot" w:pos="9298"/>
              </w:tabs>
              <w:spacing w:line="360" w:lineRule="exact"/>
              <w:jc w:val="center"/>
              <w:rPr>
                <w:rFonts w:cs="仿宋_GB2312"/>
                <w:szCs w:val="21"/>
              </w:rPr>
            </w:pPr>
          </w:p>
        </w:tc>
        <w:tc>
          <w:tcPr>
            <w:tcW w:w="2042" w:type="dxa"/>
            <w:shd w:val="clear" w:color="auto" w:fill="auto"/>
            <w:vAlign w:val="center"/>
          </w:tcPr>
          <w:p w14:paraId="56846D5A">
            <w:pPr>
              <w:tabs>
                <w:tab w:val="center" w:pos="4201"/>
                <w:tab w:val="right" w:leader="dot" w:pos="9298"/>
              </w:tabs>
              <w:spacing w:line="360" w:lineRule="exact"/>
              <w:jc w:val="center"/>
              <w:rPr>
                <w:rFonts w:cs="仿宋_GB2312"/>
                <w:szCs w:val="21"/>
              </w:rPr>
            </w:pPr>
            <w:r>
              <w:rPr>
                <w:rFonts w:hint="eastAsia" w:cs="仿宋_GB2312"/>
                <w:szCs w:val="21"/>
              </w:rPr>
              <w:t>《能力标准说明》为本课程</w:t>
            </w:r>
          </w:p>
        </w:tc>
        <w:tc>
          <w:tcPr>
            <w:tcW w:w="981" w:type="dxa"/>
            <w:vMerge w:val="continue"/>
            <w:vAlign w:val="center"/>
          </w:tcPr>
          <w:p w14:paraId="509973AC">
            <w:pPr>
              <w:tabs>
                <w:tab w:val="center" w:pos="4201"/>
                <w:tab w:val="right" w:leader="dot" w:pos="9298"/>
              </w:tabs>
              <w:spacing w:line="360" w:lineRule="exact"/>
              <w:jc w:val="center"/>
              <w:rPr>
                <w:rFonts w:cs="仿宋_GB2312"/>
                <w:szCs w:val="21"/>
              </w:rPr>
            </w:pPr>
          </w:p>
        </w:tc>
        <w:tc>
          <w:tcPr>
            <w:tcW w:w="1061" w:type="dxa"/>
            <w:vMerge w:val="restart"/>
            <w:vAlign w:val="center"/>
          </w:tcPr>
          <w:p w14:paraId="6E5CEEDA">
            <w:pPr>
              <w:tabs>
                <w:tab w:val="center" w:pos="4201"/>
                <w:tab w:val="right" w:leader="dot" w:pos="9298"/>
              </w:tabs>
              <w:spacing w:line="360" w:lineRule="exact"/>
              <w:jc w:val="center"/>
              <w:rPr>
                <w:rFonts w:cs="仿宋_GB2312"/>
                <w:szCs w:val="21"/>
              </w:rPr>
            </w:pPr>
            <w:r>
              <w:rPr>
                <w:rFonts w:hint="eastAsia" w:cs="仿宋_GB2312"/>
                <w:szCs w:val="21"/>
              </w:rPr>
              <w:t>业绩资历</w:t>
            </w:r>
          </w:p>
        </w:tc>
        <w:tc>
          <w:tcPr>
            <w:tcW w:w="2389" w:type="dxa"/>
            <w:vAlign w:val="center"/>
          </w:tcPr>
          <w:p w14:paraId="5E086C19">
            <w:pPr>
              <w:tabs>
                <w:tab w:val="center" w:pos="4201"/>
                <w:tab w:val="right" w:leader="dot" w:pos="9298"/>
              </w:tabs>
              <w:spacing w:line="360" w:lineRule="exact"/>
              <w:jc w:val="center"/>
              <w:rPr>
                <w:rFonts w:cs="仿宋_GB2312"/>
                <w:szCs w:val="21"/>
              </w:rPr>
            </w:pPr>
            <w:r>
              <w:rPr>
                <w:rFonts w:hint="eastAsia" w:cs="仿宋_GB2312"/>
                <w:szCs w:val="21"/>
              </w:rPr>
              <w:t>高技、技师毕业证书</w:t>
            </w:r>
          </w:p>
        </w:tc>
      </w:tr>
      <w:tr w14:paraId="759AC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2" w:type="dxa"/>
            <w:vMerge w:val="continue"/>
            <w:vAlign w:val="center"/>
          </w:tcPr>
          <w:p w14:paraId="016A7A70">
            <w:pPr>
              <w:tabs>
                <w:tab w:val="center" w:pos="4201"/>
                <w:tab w:val="right" w:leader="dot" w:pos="9298"/>
              </w:tabs>
              <w:spacing w:line="360" w:lineRule="exact"/>
              <w:jc w:val="center"/>
              <w:rPr>
                <w:rFonts w:cs="仿宋_GB2312"/>
                <w:szCs w:val="21"/>
              </w:rPr>
            </w:pPr>
          </w:p>
        </w:tc>
        <w:tc>
          <w:tcPr>
            <w:tcW w:w="2042" w:type="dxa"/>
            <w:shd w:val="clear" w:color="auto" w:fill="auto"/>
            <w:vAlign w:val="center"/>
          </w:tcPr>
          <w:p w14:paraId="4A463486">
            <w:pPr>
              <w:tabs>
                <w:tab w:val="center" w:pos="4201"/>
                <w:tab w:val="right" w:leader="dot" w:pos="9298"/>
              </w:tabs>
              <w:spacing w:line="360" w:lineRule="exact"/>
              <w:jc w:val="center"/>
              <w:rPr>
                <w:rFonts w:cs="仿宋_GB2312"/>
                <w:szCs w:val="21"/>
              </w:rPr>
            </w:pPr>
            <w:r>
              <w:rPr>
                <w:rFonts w:hint="eastAsia" w:cs="仿宋_GB2312"/>
                <w:szCs w:val="21"/>
              </w:rPr>
              <w:t>《通用（基础）能力说明》为本课程</w:t>
            </w:r>
          </w:p>
        </w:tc>
        <w:tc>
          <w:tcPr>
            <w:tcW w:w="981" w:type="dxa"/>
            <w:vMerge w:val="continue"/>
            <w:vAlign w:val="center"/>
          </w:tcPr>
          <w:p w14:paraId="16C92E34">
            <w:pPr>
              <w:tabs>
                <w:tab w:val="center" w:pos="4201"/>
                <w:tab w:val="right" w:leader="dot" w:pos="9298"/>
              </w:tabs>
              <w:spacing w:line="360" w:lineRule="exact"/>
              <w:jc w:val="center"/>
              <w:rPr>
                <w:rFonts w:cs="仿宋_GB2312"/>
                <w:szCs w:val="21"/>
              </w:rPr>
            </w:pPr>
          </w:p>
        </w:tc>
        <w:tc>
          <w:tcPr>
            <w:tcW w:w="1061" w:type="dxa"/>
            <w:vMerge w:val="continue"/>
            <w:vAlign w:val="center"/>
          </w:tcPr>
          <w:p w14:paraId="7A9C7EA1">
            <w:pPr>
              <w:tabs>
                <w:tab w:val="center" w:pos="4201"/>
                <w:tab w:val="right" w:leader="dot" w:pos="9298"/>
              </w:tabs>
              <w:spacing w:line="360" w:lineRule="exact"/>
              <w:jc w:val="center"/>
              <w:rPr>
                <w:rFonts w:cs="仿宋_GB2312"/>
                <w:szCs w:val="21"/>
              </w:rPr>
            </w:pPr>
          </w:p>
        </w:tc>
        <w:tc>
          <w:tcPr>
            <w:tcW w:w="2389" w:type="dxa"/>
            <w:vAlign w:val="center"/>
          </w:tcPr>
          <w:p w14:paraId="61BFDD38">
            <w:pPr>
              <w:tabs>
                <w:tab w:val="center" w:pos="4201"/>
                <w:tab w:val="right" w:leader="dot" w:pos="9298"/>
              </w:tabs>
              <w:spacing w:line="360" w:lineRule="exact"/>
              <w:jc w:val="center"/>
              <w:rPr>
                <w:rFonts w:cs="仿宋_GB2312"/>
                <w:szCs w:val="21"/>
              </w:rPr>
            </w:pPr>
            <w:r>
              <w:rPr>
                <w:rFonts w:hint="eastAsia" w:cs="仿宋_GB2312"/>
                <w:szCs w:val="21"/>
              </w:rPr>
              <w:t>专业技术职称证书</w:t>
            </w:r>
          </w:p>
        </w:tc>
      </w:tr>
      <w:tr w14:paraId="255B1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2" w:type="dxa"/>
            <w:vMerge w:val="continue"/>
            <w:vAlign w:val="center"/>
          </w:tcPr>
          <w:p w14:paraId="3F289D69">
            <w:pPr>
              <w:tabs>
                <w:tab w:val="center" w:pos="4201"/>
                <w:tab w:val="right" w:leader="dot" w:pos="9298"/>
              </w:tabs>
              <w:spacing w:line="360" w:lineRule="exact"/>
              <w:jc w:val="center"/>
              <w:rPr>
                <w:rFonts w:cs="仿宋_GB2312"/>
                <w:szCs w:val="21"/>
              </w:rPr>
            </w:pPr>
          </w:p>
        </w:tc>
        <w:tc>
          <w:tcPr>
            <w:tcW w:w="2042" w:type="dxa"/>
            <w:shd w:val="clear" w:color="auto" w:fill="auto"/>
            <w:vAlign w:val="center"/>
          </w:tcPr>
          <w:p w14:paraId="20BB77B6">
            <w:pPr>
              <w:tabs>
                <w:tab w:val="center" w:pos="4201"/>
                <w:tab w:val="right" w:leader="dot" w:pos="9298"/>
              </w:tabs>
              <w:spacing w:line="360" w:lineRule="exact"/>
              <w:jc w:val="center"/>
              <w:rPr>
                <w:rFonts w:cs="仿宋_GB2312"/>
                <w:szCs w:val="21"/>
              </w:rPr>
            </w:pPr>
            <w:r>
              <w:rPr>
                <w:rFonts w:hint="eastAsia" w:cs="仿宋_GB2312"/>
                <w:szCs w:val="21"/>
              </w:rPr>
              <w:t>职业阶梯课程</w:t>
            </w:r>
          </w:p>
        </w:tc>
        <w:tc>
          <w:tcPr>
            <w:tcW w:w="981" w:type="dxa"/>
            <w:vMerge w:val="continue"/>
            <w:vAlign w:val="center"/>
          </w:tcPr>
          <w:p w14:paraId="39D2671E">
            <w:pPr>
              <w:tabs>
                <w:tab w:val="center" w:pos="4201"/>
                <w:tab w:val="right" w:leader="dot" w:pos="9298"/>
              </w:tabs>
              <w:spacing w:line="360" w:lineRule="exact"/>
              <w:jc w:val="center"/>
              <w:rPr>
                <w:rFonts w:cs="仿宋_GB2312"/>
                <w:szCs w:val="21"/>
              </w:rPr>
            </w:pPr>
          </w:p>
        </w:tc>
        <w:tc>
          <w:tcPr>
            <w:tcW w:w="1061" w:type="dxa"/>
            <w:vMerge w:val="continue"/>
            <w:vAlign w:val="center"/>
          </w:tcPr>
          <w:p w14:paraId="0DEFEEB5">
            <w:pPr>
              <w:tabs>
                <w:tab w:val="center" w:pos="4201"/>
                <w:tab w:val="right" w:leader="dot" w:pos="9298"/>
              </w:tabs>
              <w:spacing w:line="360" w:lineRule="exact"/>
              <w:jc w:val="center"/>
              <w:rPr>
                <w:rFonts w:cs="仿宋_GB2312"/>
                <w:szCs w:val="21"/>
              </w:rPr>
            </w:pPr>
          </w:p>
        </w:tc>
        <w:tc>
          <w:tcPr>
            <w:tcW w:w="2389" w:type="dxa"/>
            <w:vAlign w:val="center"/>
          </w:tcPr>
          <w:p w14:paraId="301EE3EC">
            <w:pPr>
              <w:tabs>
                <w:tab w:val="center" w:pos="4201"/>
                <w:tab w:val="right" w:leader="dot" w:pos="9298"/>
              </w:tabs>
              <w:spacing w:line="360" w:lineRule="exact"/>
              <w:jc w:val="center"/>
              <w:rPr>
                <w:rFonts w:cs="仿宋_GB2312"/>
                <w:szCs w:val="21"/>
              </w:rPr>
            </w:pPr>
            <w:r>
              <w:rPr>
                <w:rFonts w:hint="eastAsia" w:cs="仿宋_GB2312"/>
                <w:szCs w:val="21"/>
              </w:rPr>
              <w:t>国家职业资格证书</w:t>
            </w:r>
          </w:p>
        </w:tc>
      </w:tr>
      <w:tr w14:paraId="397967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2" w:type="dxa"/>
            <w:vMerge w:val="continue"/>
            <w:vAlign w:val="center"/>
          </w:tcPr>
          <w:p w14:paraId="0330AAD8">
            <w:pPr>
              <w:tabs>
                <w:tab w:val="center" w:pos="4201"/>
                <w:tab w:val="right" w:leader="dot" w:pos="9298"/>
              </w:tabs>
              <w:spacing w:line="360" w:lineRule="exact"/>
              <w:jc w:val="center"/>
              <w:rPr>
                <w:rFonts w:cs="仿宋_GB2312"/>
                <w:szCs w:val="21"/>
              </w:rPr>
            </w:pPr>
          </w:p>
        </w:tc>
        <w:tc>
          <w:tcPr>
            <w:tcW w:w="2042" w:type="dxa"/>
            <w:shd w:val="clear" w:color="auto" w:fill="auto"/>
            <w:vAlign w:val="center"/>
          </w:tcPr>
          <w:p w14:paraId="2AAF5C3C">
            <w:pPr>
              <w:tabs>
                <w:tab w:val="center" w:pos="4201"/>
                <w:tab w:val="right" w:leader="dot" w:pos="9298"/>
              </w:tabs>
              <w:spacing w:line="360" w:lineRule="exact"/>
              <w:jc w:val="center"/>
              <w:rPr>
                <w:rFonts w:cs="仿宋_GB2312"/>
                <w:szCs w:val="21"/>
              </w:rPr>
            </w:pPr>
            <w:r>
              <w:rPr>
                <w:rFonts w:hint="eastAsia" w:cs="仿宋_GB2312"/>
                <w:szCs w:val="21"/>
              </w:rPr>
              <w:t>其他进行课程</w:t>
            </w:r>
          </w:p>
        </w:tc>
        <w:tc>
          <w:tcPr>
            <w:tcW w:w="981" w:type="dxa"/>
            <w:vMerge w:val="continue"/>
            <w:vAlign w:val="center"/>
          </w:tcPr>
          <w:p w14:paraId="395DFA76">
            <w:pPr>
              <w:tabs>
                <w:tab w:val="center" w:pos="4201"/>
                <w:tab w:val="right" w:leader="dot" w:pos="9298"/>
              </w:tabs>
              <w:spacing w:line="360" w:lineRule="exact"/>
              <w:jc w:val="center"/>
              <w:rPr>
                <w:rFonts w:cs="仿宋_GB2312"/>
                <w:szCs w:val="21"/>
              </w:rPr>
            </w:pPr>
          </w:p>
        </w:tc>
        <w:tc>
          <w:tcPr>
            <w:tcW w:w="1061" w:type="dxa"/>
            <w:vMerge w:val="continue"/>
            <w:vAlign w:val="center"/>
          </w:tcPr>
          <w:p w14:paraId="6B003AA5">
            <w:pPr>
              <w:tabs>
                <w:tab w:val="center" w:pos="4201"/>
                <w:tab w:val="right" w:leader="dot" w:pos="9298"/>
              </w:tabs>
              <w:spacing w:line="360" w:lineRule="exact"/>
              <w:jc w:val="center"/>
              <w:rPr>
                <w:rFonts w:cs="仿宋_GB2312"/>
                <w:szCs w:val="21"/>
              </w:rPr>
            </w:pPr>
          </w:p>
        </w:tc>
        <w:tc>
          <w:tcPr>
            <w:tcW w:w="2389" w:type="dxa"/>
            <w:vAlign w:val="center"/>
          </w:tcPr>
          <w:p w14:paraId="6A817172">
            <w:pPr>
              <w:tabs>
                <w:tab w:val="center" w:pos="4201"/>
                <w:tab w:val="right" w:leader="dot" w:pos="9298"/>
              </w:tabs>
              <w:spacing w:line="360" w:lineRule="exact"/>
              <w:jc w:val="center"/>
              <w:rPr>
                <w:rFonts w:cs="仿宋_GB2312"/>
                <w:szCs w:val="21"/>
              </w:rPr>
            </w:pPr>
            <w:r>
              <w:rPr>
                <w:rFonts w:hint="eastAsia" w:cs="仿宋_GB2312"/>
                <w:szCs w:val="21"/>
              </w:rPr>
              <w:t>职业技能等级证书</w:t>
            </w:r>
          </w:p>
        </w:tc>
      </w:tr>
      <w:tr w14:paraId="7A2C4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2" w:type="dxa"/>
            <w:vMerge w:val="continue"/>
            <w:vAlign w:val="center"/>
          </w:tcPr>
          <w:p w14:paraId="57BFAA01">
            <w:pPr>
              <w:tabs>
                <w:tab w:val="center" w:pos="4201"/>
                <w:tab w:val="right" w:leader="dot" w:pos="9298"/>
              </w:tabs>
              <w:spacing w:line="360" w:lineRule="exact"/>
              <w:jc w:val="center"/>
              <w:rPr>
                <w:rFonts w:cs="仿宋_GB2312"/>
                <w:szCs w:val="21"/>
              </w:rPr>
            </w:pPr>
          </w:p>
        </w:tc>
        <w:tc>
          <w:tcPr>
            <w:tcW w:w="2042" w:type="dxa"/>
            <w:shd w:val="clear" w:color="auto" w:fill="auto"/>
            <w:vAlign w:val="center"/>
          </w:tcPr>
          <w:p w14:paraId="528CB471">
            <w:pPr>
              <w:tabs>
                <w:tab w:val="center" w:pos="4201"/>
                <w:tab w:val="right" w:leader="dot" w:pos="9298"/>
              </w:tabs>
              <w:spacing w:line="360" w:lineRule="exact"/>
              <w:jc w:val="center"/>
              <w:rPr>
                <w:rFonts w:cs="仿宋_GB2312"/>
                <w:szCs w:val="21"/>
              </w:rPr>
            </w:pPr>
            <w:r>
              <w:rPr>
                <w:rFonts w:hint="eastAsia" w:cs="仿宋_GB2312"/>
                <w:szCs w:val="21"/>
              </w:rPr>
              <w:t>专业资历</w:t>
            </w:r>
          </w:p>
        </w:tc>
        <w:tc>
          <w:tcPr>
            <w:tcW w:w="981" w:type="dxa"/>
            <w:vMerge w:val="continue"/>
            <w:vAlign w:val="center"/>
          </w:tcPr>
          <w:p w14:paraId="4B4CDF94">
            <w:pPr>
              <w:tabs>
                <w:tab w:val="center" w:pos="4201"/>
                <w:tab w:val="right" w:leader="dot" w:pos="9298"/>
              </w:tabs>
              <w:spacing w:line="360" w:lineRule="exact"/>
              <w:jc w:val="center"/>
              <w:rPr>
                <w:rFonts w:cs="仿宋_GB2312"/>
                <w:szCs w:val="21"/>
              </w:rPr>
            </w:pPr>
          </w:p>
        </w:tc>
        <w:tc>
          <w:tcPr>
            <w:tcW w:w="1061" w:type="dxa"/>
            <w:vMerge w:val="continue"/>
            <w:vAlign w:val="center"/>
          </w:tcPr>
          <w:p w14:paraId="7C75EA39">
            <w:pPr>
              <w:tabs>
                <w:tab w:val="center" w:pos="4201"/>
                <w:tab w:val="right" w:leader="dot" w:pos="9298"/>
              </w:tabs>
              <w:spacing w:line="360" w:lineRule="exact"/>
              <w:jc w:val="center"/>
              <w:rPr>
                <w:rFonts w:cs="仿宋_GB2312"/>
                <w:szCs w:val="21"/>
              </w:rPr>
            </w:pPr>
          </w:p>
        </w:tc>
        <w:tc>
          <w:tcPr>
            <w:tcW w:w="2389" w:type="dxa"/>
            <w:vAlign w:val="center"/>
          </w:tcPr>
          <w:p w14:paraId="5DD66789">
            <w:pPr>
              <w:tabs>
                <w:tab w:val="center" w:pos="4201"/>
                <w:tab w:val="right" w:leader="dot" w:pos="9298"/>
              </w:tabs>
              <w:spacing w:line="360" w:lineRule="exact"/>
              <w:jc w:val="center"/>
              <w:rPr>
                <w:rFonts w:cs="仿宋_GB2312"/>
                <w:szCs w:val="21"/>
              </w:rPr>
            </w:pPr>
            <w:r>
              <w:rPr>
                <w:rFonts w:hint="eastAsia" w:cs="仿宋_GB2312"/>
                <w:szCs w:val="21"/>
              </w:rPr>
              <w:t>技能竞赛获奖证书</w:t>
            </w:r>
          </w:p>
        </w:tc>
      </w:tr>
      <w:tr w14:paraId="0892B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2" w:type="dxa"/>
            <w:vMerge w:val="restart"/>
            <w:vAlign w:val="center"/>
          </w:tcPr>
          <w:p w14:paraId="081B7811">
            <w:pPr>
              <w:tabs>
                <w:tab w:val="center" w:pos="4201"/>
                <w:tab w:val="right" w:leader="dot" w:pos="9298"/>
              </w:tabs>
              <w:spacing w:line="360" w:lineRule="exact"/>
              <w:jc w:val="center"/>
              <w:rPr>
                <w:rFonts w:cs="仿宋_GB2312"/>
                <w:szCs w:val="21"/>
              </w:rPr>
            </w:pPr>
            <w:r>
              <w:rPr>
                <w:rFonts w:hint="eastAsia" w:cs="仿宋_GB2312"/>
                <w:szCs w:val="21"/>
              </w:rPr>
              <w:t>经评估取得的资历</w:t>
            </w:r>
          </w:p>
        </w:tc>
        <w:tc>
          <w:tcPr>
            <w:tcW w:w="2042" w:type="dxa"/>
            <w:shd w:val="clear" w:color="auto" w:fill="auto"/>
            <w:vAlign w:val="center"/>
          </w:tcPr>
          <w:p w14:paraId="5AA4285E">
            <w:pPr>
              <w:tabs>
                <w:tab w:val="center" w:pos="4201"/>
                <w:tab w:val="right" w:leader="dot" w:pos="9298"/>
              </w:tabs>
              <w:spacing w:line="360" w:lineRule="exact"/>
              <w:jc w:val="center"/>
              <w:rPr>
                <w:rFonts w:cs="仿宋_GB2312"/>
                <w:szCs w:val="21"/>
              </w:rPr>
            </w:pPr>
            <w:r>
              <w:rPr>
                <w:rFonts w:hint="eastAsia" w:cs="仿宋_GB2312"/>
                <w:szCs w:val="21"/>
              </w:rPr>
              <w:t>“过往资历认可”资历</w:t>
            </w:r>
          </w:p>
        </w:tc>
        <w:tc>
          <w:tcPr>
            <w:tcW w:w="981" w:type="dxa"/>
            <w:vMerge w:val="continue"/>
            <w:vAlign w:val="center"/>
          </w:tcPr>
          <w:p w14:paraId="2C4C85B5">
            <w:pPr>
              <w:tabs>
                <w:tab w:val="center" w:pos="4201"/>
                <w:tab w:val="right" w:leader="dot" w:pos="9298"/>
              </w:tabs>
              <w:spacing w:line="360" w:lineRule="exact"/>
              <w:jc w:val="center"/>
              <w:rPr>
                <w:rFonts w:cs="仿宋_GB2312"/>
                <w:szCs w:val="21"/>
              </w:rPr>
            </w:pPr>
          </w:p>
        </w:tc>
        <w:tc>
          <w:tcPr>
            <w:tcW w:w="1061" w:type="dxa"/>
            <w:vMerge w:val="continue"/>
            <w:vAlign w:val="center"/>
          </w:tcPr>
          <w:p w14:paraId="1CE4EDCA">
            <w:pPr>
              <w:tabs>
                <w:tab w:val="center" w:pos="4201"/>
                <w:tab w:val="right" w:leader="dot" w:pos="9298"/>
              </w:tabs>
              <w:spacing w:line="360" w:lineRule="exact"/>
              <w:jc w:val="center"/>
              <w:rPr>
                <w:rFonts w:cs="仿宋_GB2312"/>
                <w:szCs w:val="21"/>
              </w:rPr>
            </w:pPr>
          </w:p>
        </w:tc>
        <w:tc>
          <w:tcPr>
            <w:tcW w:w="2389" w:type="dxa"/>
            <w:vAlign w:val="center"/>
          </w:tcPr>
          <w:p w14:paraId="7D45E625">
            <w:pPr>
              <w:tabs>
                <w:tab w:val="center" w:pos="4201"/>
                <w:tab w:val="right" w:leader="dot" w:pos="9298"/>
              </w:tabs>
              <w:spacing w:line="360" w:lineRule="exact"/>
              <w:jc w:val="center"/>
              <w:rPr>
                <w:rFonts w:cs="仿宋_GB2312"/>
                <w:szCs w:val="21"/>
              </w:rPr>
            </w:pPr>
            <w:r>
              <w:rPr>
                <w:rFonts w:hint="eastAsia" w:cs="仿宋_GB2312"/>
                <w:szCs w:val="21"/>
              </w:rPr>
              <w:t>岗位业绩奖励证书</w:t>
            </w:r>
          </w:p>
        </w:tc>
      </w:tr>
      <w:tr w14:paraId="1921F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2" w:type="dxa"/>
            <w:vMerge w:val="continue"/>
            <w:vAlign w:val="center"/>
          </w:tcPr>
          <w:p w14:paraId="4DCD36BC">
            <w:pPr>
              <w:tabs>
                <w:tab w:val="center" w:pos="4201"/>
                <w:tab w:val="right" w:leader="dot" w:pos="9298"/>
              </w:tabs>
              <w:spacing w:line="360" w:lineRule="exact"/>
              <w:jc w:val="center"/>
              <w:rPr>
                <w:rFonts w:cs="仿宋_GB2312"/>
                <w:szCs w:val="21"/>
              </w:rPr>
            </w:pPr>
          </w:p>
        </w:tc>
        <w:tc>
          <w:tcPr>
            <w:tcW w:w="2042" w:type="dxa"/>
            <w:shd w:val="clear" w:color="auto" w:fill="auto"/>
            <w:vAlign w:val="center"/>
          </w:tcPr>
          <w:p w14:paraId="18CD0FC9">
            <w:pPr>
              <w:tabs>
                <w:tab w:val="center" w:pos="4201"/>
                <w:tab w:val="right" w:leader="dot" w:pos="9298"/>
              </w:tabs>
              <w:spacing w:line="360" w:lineRule="exact"/>
              <w:jc w:val="center"/>
              <w:rPr>
                <w:rFonts w:cs="仿宋_GB2312"/>
                <w:szCs w:val="21"/>
              </w:rPr>
            </w:pPr>
            <w:r>
              <w:rPr>
                <w:rFonts w:hint="eastAsia" w:cs="仿宋_GB2312"/>
                <w:szCs w:val="21"/>
              </w:rPr>
              <w:t>“过往资历认可”资历（职业资历阶梯）</w:t>
            </w:r>
          </w:p>
        </w:tc>
        <w:tc>
          <w:tcPr>
            <w:tcW w:w="981" w:type="dxa"/>
            <w:vMerge w:val="continue"/>
            <w:vAlign w:val="center"/>
          </w:tcPr>
          <w:p w14:paraId="062EE7B6">
            <w:pPr>
              <w:tabs>
                <w:tab w:val="center" w:pos="4201"/>
                <w:tab w:val="right" w:leader="dot" w:pos="9298"/>
              </w:tabs>
              <w:spacing w:line="360" w:lineRule="exact"/>
              <w:jc w:val="center"/>
              <w:rPr>
                <w:rFonts w:cs="仿宋_GB2312"/>
                <w:szCs w:val="21"/>
              </w:rPr>
            </w:pPr>
          </w:p>
        </w:tc>
        <w:tc>
          <w:tcPr>
            <w:tcW w:w="1061" w:type="dxa"/>
            <w:vMerge w:val="continue"/>
            <w:vAlign w:val="center"/>
          </w:tcPr>
          <w:p w14:paraId="5835CDAB">
            <w:pPr>
              <w:tabs>
                <w:tab w:val="center" w:pos="4201"/>
                <w:tab w:val="right" w:leader="dot" w:pos="9298"/>
              </w:tabs>
              <w:spacing w:line="360" w:lineRule="exact"/>
              <w:jc w:val="center"/>
              <w:rPr>
                <w:rFonts w:cs="仿宋_GB2312"/>
                <w:szCs w:val="21"/>
              </w:rPr>
            </w:pPr>
          </w:p>
        </w:tc>
        <w:tc>
          <w:tcPr>
            <w:tcW w:w="2389" w:type="dxa"/>
            <w:vAlign w:val="center"/>
          </w:tcPr>
          <w:p w14:paraId="3630A734">
            <w:pPr>
              <w:tabs>
                <w:tab w:val="center" w:pos="4201"/>
                <w:tab w:val="right" w:leader="dot" w:pos="9298"/>
              </w:tabs>
              <w:spacing w:line="360" w:lineRule="exact"/>
              <w:jc w:val="center"/>
              <w:rPr>
                <w:rFonts w:cs="仿宋_GB2312"/>
                <w:szCs w:val="21"/>
              </w:rPr>
            </w:pPr>
            <w:r>
              <w:rPr>
                <w:rFonts w:hint="eastAsia" w:cs="仿宋_GB2312"/>
                <w:szCs w:val="21"/>
              </w:rPr>
              <w:t>岗位资历</w:t>
            </w:r>
          </w:p>
        </w:tc>
      </w:tr>
    </w:tbl>
    <w:p w14:paraId="440F7A0F">
      <w:pPr>
        <w:ind w:firstLine="420" w:firstLineChars="200"/>
        <w:rPr>
          <w:rFonts w:hint="default"/>
        </w:rPr>
      </w:pPr>
    </w:p>
    <w:p w14:paraId="79299B00">
      <w:pPr>
        <w:ind w:firstLine="420" w:firstLineChars="200"/>
        <w:rPr>
          <w:rFonts w:hint="default"/>
        </w:rPr>
      </w:pPr>
      <w:r>
        <w:rPr>
          <w:rFonts w:hint="default"/>
        </w:rPr>
        <w:t>资源整合体现出显著的互补共享特点。合作获得了4800万的专项财政支持，为框架建设提供了基础保障。在具体实践中，香港方面提供专业经验和国际视野，广东方面提供人力和组织保障，形成了优势互补的资源配置。通过实践还创新性地发现人社部门可作为新的办学资质审批渠道，进一步拓展了资源来源。</w:t>
      </w:r>
    </w:p>
    <w:p w14:paraId="2F953EDE">
      <w:pPr>
        <w:keepNext w:val="0"/>
        <w:keepLines w:val="0"/>
        <w:pageBreakBefore w:val="0"/>
        <w:widowControl/>
        <w:numPr>
          <w:ilvl w:val="-1"/>
          <w:numId w:val="0"/>
        </w:numPr>
        <w:kinsoku/>
        <w:wordWrap/>
        <w:overflowPunct/>
        <w:topLinePunct w:val="0"/>
        <w:autoSpaceDE/>
        <w:autoSpaceDN/>
        <w:bidi w:val="0"/>
        <w:adjustRightInd/>
        <w:snapToGrid/>
        <w:ind w:firstLine="420" w:firstLineChars="200"/>
        <w:jc w:val="left"/>
        <w:textAlignment w:val="auto"/>
        <w:rPr>
          <w:rFonts w:hint="default" w:ascii="宋体" w:hAnsi="宋体" w:eastAsia="宋体" w:cs="宋体"/>
          <w:i w:val="0"/>
          <w:iCs w:val="0"/>
          <w:caps w:val="0"/>
          <w:spacing w:val="0"/>
          <w:sz w:val="21"/>
          <w:szCs w:val="21"/>
          <w:shd w:val="clear" w:fill="FFFFFF"/>
          <w:lang w:val="en-US" w:eastAsia="zh-CN"/>
        </w:rPr>
      </w:pPr>
      <w:r>
        <w:rPr>
          <w:rFonts w:hint="default"/>
        </w:rPr>
        <w:t>这五个要素相互支撑、协同发展，共同推动了粤港资历框架合作的深入开展。从最初的制度构建，到专业团队形成，再到机制创新与本土化，最后在实践中得到检验，协同能力在不断提升的过程中既受益于管理机制的规范化，也源于共享动机的深化。这种全方位的协同能力提升，为粤港资历框架合作的持续深化提供了坚实的实践基础。</w:t>
      </w:r>
    </w:p>
    <w:p w14:paraId="00C1A09C">
      <w:pPr>
        <w:numPr>
          <w:ilvl w:val="0"/>
          <w:numId w:val="0"/>
        </w:numPr>
        <w:ind w:firstLine="420"/>
        <w:rPr>
          <w:rFonts w:hint="default" w:ascii="Times New Roman"/>
          <w:sz w:val="21"/>
          <w:szCs w:val="21"/>
          <w:lang w:val="en-US" w:eastAsia="zh-CN"/>
        </w:rPr>
      </w:pPr>
    </w:p>
    <w:p w14:paraId="4AD0894D">
      <w:pPr>
        <w:keepNext w:val="0"/>
        <w:keepLines w:val="0"/>
        <w:pageBreakBefore w:val="0"/>
        <w:widowControl/>
        <w:numPr>
          <w:ilvl w:val="-1"/>
          <w:numId w:val="0"/>
        </w:numPr>
        <w:kinsoku/>
        <w:wordWrap/>
        <w:overflowPunct/>
        <w:topLinePunct w:val="0"/>
        <w:autoSpaceDE/>
        <w:autoSpaceDN/>
        <w:bidi w:val="0"/>
        <w:adjustRightInd/>
        <w:snapToGrid/>
        <w:ind w:firstLine="420" w:firstLineChars="200"/>
        <w:jc w:val="left"/>
        <w:textAlignment w:val="auto"/>
        <w:rPr>
          <w:rFonts w:hint="default" w:ascii="Times New Roman"/>
          <w:sz w:val="21"/>
          <w:szCs w:val="21"/>
          <w:lang w:val="en-US" w:eastAsia="zh-CN"/>
        </w:rPr>
      </w:pPr>
      <w:r>
        <w:rPr>
          <w:rFonts w:hint="eastAsia" w:ascii="Times New Roman"/>
          <w:sz w:val="21"/>
          <w:szCs w:val="21"/>
          <w:lang w:val="en-US" w:eastAsia="zh-CN"/>
        </w:rPr>
        <w:t>在2024年的粤港资历框架合作研讨会上，香港评审局的</w:t>
      </w:r>
      <w:r>
        <w:rPr>
          <w:rFonts w:hint="default" w:ascii="Times New Roman"/>
          <w:sz w:val="21"/>
          <w:szCs w:val="21"/>
          <w:lang w:val="en-US" w:eastAsia="zh-CN"/>
        </w:rPr>
        <w:t>周庆邦总干事总结到，为确保前述对接机制得以贯彻执行，粤港两地已设立定期例会制度，每月按时举行工作会议。迄今为止，已成功举办15次粤港工作例会，并举办了7次培训工作坊，累计参与人数超过350人次。粤港资历框架合作积累了丰富的实践经验。</w:t>
      </w:r>
    </w:p>
    <w:p w14:paraId="5C2AA0D1">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i w:val="0"/>
          <w:iCs w:val="0"/>
          <w:caps w:val="0"/>
          <w:spacing w:val="0"/>
          <w:sz w:val="21"/>
          <w:szCs w:val="21"/>
          <w:shd w:val="clear"/>
          <w:lang w:val="en-US" w:eastAsia="zh-CN"/>
        </w:rPr>
      </w:pPr>
    </w:p>
    <w:p w14:paraId="3ED54344">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both"/>
        <w:textAlignment w:val="auto"/>
        <w:outlineLvl w:val="0"/>
        <w:rPr>
          <w:rFonts w:hint="default"/>
          <w:b/>
          <w:bCs/>
          <w:sz w:val="21"/>
          <w:szCs w:val="21"/>
          <w:lang w:val="en-US" w:eastAsia="zh-CN"/>
        </w:rPr>
        <w:pPrChange w:id="52" w:author="斯羽Kelinda" w:date="2025-01-08T22:23:34Z">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outlineLvl w:val="0"/>
          </w:pPr>
        </w:pPrChange>
      </w:pPr>
      <w:r>
        <w:rPr>
          <w:rFonts w:hint="eastAsia"/>
          <w:b/>
          <w:bCs/>
          <w:sz w:val="21"/>
          <w:szCs w:val="21"/>
          <w:lang w:val="en-US" w:eastAsia="zh-CN"/>
        </w:rPr>
        <w:t>五、粤港资历框架的协同行动</w:t>
      </w:r>
    </w:p>
    <w:p w14:paraId="36400EEF">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ins w:id="53" w:author="斯羽Kelinda" w:date="2025-03-24T10:06:23Z"/>
          <w:rFonts w:hint="eastAsia" w:ascii="宋体" w:hAnsi="宋体" w:eastAsia="宋体" w:cs="宋体"/>
          <w:sz w:val="21"/>
          <w:szCs w:val="21"/>
          <w:lang w:val="en-US" w:eastAsia="zh-CN"/>
        </w:rPr>
      </w:pPr>
      <w:ins w:id="54" w:author="斯羽Kelinda" w:date="2025-03-24T10:06:28Z">
        <w:r>
          <w:rPr>
            <w:rFonts w:hint="eastAsia" w:ascii="宋体" w:hAnsi="宋体" w:eastAsia="宋体" w:cs="宋体"/>
            <w:sz w:val="21"/>
            <w:szCs w:val="21"/>
            <w:lang w:val="en-US" w:eastAsia="zh-CN"/>
          </w:rPr>
          <w:t>在制度平台和机制对接的基础上，广东开放大学率先推动了基于资历框架的评审认证工作。2024年6月，在香港评审局的协助下，广东组建了专家团队，对广州赛马培训有限公司的见习骑师证书进行了质量保障评审。通过提交评审文件、初步审核，实地考察等阶段，对机构资质等11项指标进行考核后，认为该资历符合广东资历框架2级水平，将其纳入广东资历名册。此次认证具有双重突破性意义：一方面，这些课程资历成为首个被正式纳入广东终身教育资历名册的项目；另一方面，由于这些资历在香港已获资历架构认可，本次认证实现了粤港两地资历的互通互认，为系统化的跨境资历互认机制的落地提供了有益探索。获得该资历的学员既可以等同于获得广东资历框架二级的资历，</w:t>
        </w:r>
      </w:ins>
    </w:p>
    <w:p w14:paraId="3D0E7E0D">
      <w:pPr>
        <w:keepNext w:val="0"/>
        <w:keepLines w:val="0"/>
        <w:pageBreakBefore w:val="0"/>
        <w:widowControl w:val="0"/>
        <w:numPr>
          <w:ilvl w:val="0"/>
          <w:numId w:val="0"/>
        </w:numPr>
        <w:kinsoku/>
        <w:wordWrap/>
        <w:overflowPunct/>
        <w:topLinePunct w:val="0"/>
        <w:autoSpaceDE/>
        <w:autoSpaceDN/>
        <w:bidi w:val="0"/>
        <w:adjustRightInd/>
        <w:snapToGrid/>
        <w:ind w:firstLine="840" w:firstLineChars="400"/>
        <w:jc w:val="both"/>
        <w:textAlignment w:val="auto"/>
        <w:outlineLvl w:val="9"/>
        <w:rPr>
          <w:del w:id="56" w:author="斯羽Kelinda" w:date="2025-03-24T10:06:35Z"/>
          <w:rFonts w:hint="eastAsia" w:ascii="宋体" w:hAnsi="宋体" w:eastAsia="宋体" w:cs="宋体"/>
          <w:sz w:val="21"/>
          <w:szCs w:val="21"/>
          <w:lang w:val="en-US" w:eastAsia="zh-CN"/>
        </w:rPr>
        <w:pPrChange w:id="55" w:author="斯羽Kelinda" w:date="2025-03-24T10:07:02Z">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pPr>
        </w:pPrChange>
      </w:pPr>
      <w:r>
        <w:rPr>
          <w:rFonts w:hint="eastAsia" w:ascii="宋体" w:hAnsi="宋体" w:eastAsia="宋体" w:cs="宋体"/>
          <w:sz w:val="21"/>
          <w:szCs w:val="21"/>
          <w:lang w:val="en-US" w:eastAsia="zh-CN"/>
        </w:rPr>
        <w:t>协同行动是协同治理最后的阶段，通过协同机制的搭建，可以开展具体的协同行动，形成了事实上协同</w:t>
      </w:r>
      <w:ins w:id="57" w:author="斯羽Kelinda" w:date="2025-03-24T10:06:36Z">
        <w:r>
          <w:rPr>
            <w:rFonts w:hint="eastAsia" w:ascii="宋体" w:hAnsi="宋体" w:eastAsia="宋体" w:cs="宋体"/>
            <w:sz w:val="21"/>
            <w:szCs w:val="21"/>
            <w:lang w:val="en-US" w:eastAsia="zh-CN"/>
          </w:rPr>
          <w:t>，</w:t>
        </w:r>
      </w:ins>
    </w:p>
    <w:p w14:paraId="7269A516">
      <w:pPr>
        <w:keepNext w:val="0"/>
        <w:keepLines w:val="0"/>
        <w:pageBreakBefore w:val="0"/>
        <w:widowControl/>
        <w:numPr>
          <w:ilvl w:val="-1"/>
          <w:numId w:val="0"/>
        </w:numPr>
        <w:kinsoku/>
        <w:wordWrap/>
        <w:overflowPunct/>
        <w:topLinePunct w:val="0"/>
        <w:autoSpaceDE/>
        <w:autoSpaceDN/>
        <w:bidi w:val="0"/>
        <w:adjustRightInd/>
        <w:snapToGrid/>
        <w:ind w:firstLine="420" w:firstLineChars="200"/>
        <w:jc w:val="left"/>
        <w:textAlignment w:val="auto"/>
        <w:outlineLvl w:val="9"/>
        <w:rPr>
          <w:rFonts w:hint="default" w:ascii="宋体" w:hAnsi="宋体" w:eastAsia="宋体" w:cs="宋体"/>
          <w:sz w:val="21"/>
          <w:szCs w:val="21"/>
          <w:lang w:val="en-US" w:eastAsia="zh-CN"/>
        </w:rPr>
        <w:pPrChange w:id="58" w:author="斯羽Kelinda" w:date="2025-03-24T10:07:09Z">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pPr>
        </w:pPrChange>
      </w:pPr>
      <w:r>
        <w:rPr>
          <w:rFonts w:hint="eastAsia" w:ascii="宋体" w:hAnsi="宋体" w:eastAsia="宋体" w:cs="宋体"/>
          <w:sz w:val="21"/>
          <w:szCs w:val="21"/>
          <w:lang w:val="en-US" w:eastAsia="zh-CN"/>
        </w:rPr>
        <w:t>本来只是以为为知识制度进行验证，但实际产生了非意料后果，帮助了粤港澳大湾区内部的交流</w:t>
      </w:r>
      <w:ins w:id="59" w:author="斯羽Kelinda" w:date="2025-03-24T10:07:00Z">
        <w:r>
          <w:rPr>
            <w:rFonts w:hint="eastAsia" w:ascii="宋体" w:hAnsi="宋体" w:eastAsia="宋体" w:cs="宋体"/>
            <w:sz w:val="21"/>
            <w:szCs w:val="21"/>
            <w:lang w:val="en-US" w:eastAsia="zh-CN"/>
          </w:rPr>
          <w:t>。</w:t>
        </w:r>
      </w:ins>
      <w:ins w:id="60" w:author="斯羽Kelinda" w:date="2025-03-24T10:06:58Z">
        <w:r>
          <w:rPr>
            <w:rFonts w:hint="eastAsia" w:ascii="Times New Roman"/>
            <w:sz w:val="21"/>
            <w:szCs w:val="21"/>
            <w:lang w:val="en-US" w:eastAsia="zh-CN"/>
          </w:rPr>
          <w:t xml:space="preserve">试点评审，实际上成为了粤港双认证的资历。 </w:t>
        </w:r>
      </w:ins>
      <w:del w:id="61" w:author="斯羽Kelinda" w:date="2025-03-24T10:06:52Z">
        <w:r>
          <w:rPr>
            <w:rFonts w:hint="eastAsia" w:ascii="宋体" w:hAnsi="宋体" w:eastAsia="宋体" w:cs="宋体"/>
            <w:sz w:val="21"/>
            <w:szCs w:val="21"/>
            <w:lang w:val="en-US" w:eastAsia="zh-CN"/>
          </w:rPr>
          <w:delText>，</w:delText>
        </w:r>
      </w:del>
    </w:p>
    <w:p w14:paraId="7C48EE94">
      <w:pPr>
        <w:keepNext w:val="0"/>
        <w:keepLines w:val="0"/>
        <w:pageBreakBefore w:val="0"/>
        <w:widowControl w:val="0"/>
        <w:numPr>
          <w:ilvl w:val="0"/>
          <w:numId w:val="7"/>
        </w:numPr>
        <w:kinsoku/>
        <w:wordWrap/>
        <w:overflowPunct/>
        <w:topLinePunct w:val="0"/>
        <w:autoSpaceDE/>
        <w:autoSpaceDN/>
        <w:bidi w:val="0"/>
        <w:adjustRightInd/>
        <w:snapToGrid/>
        <w:ind w:firstLine="420" w:firstLineChars="200"/>
        <w:jc w:val="both"/>
        <w:textAlignment w:val="auto"/>
        <w:outlineLvl w:val="1"/>
        <w:rPr>
          <w:del w:id="62" w:author="斯羽Kelinda" w:date="2025-03-24T10:06:41Z"/>
          <w:rFonts w:hint="eastAsia" w:ascii="宋体" w:hAnsi="宋体" w:eastAsia="宋体" w:cs="宋体"/>
          <w:sz w:val="21"/>
          <w:szCs w:val="21"/>
          <w:lang w:val="en-US" w:eastAsia="zh-CN"/>
        </w:rPr>
      </w:pPr>
      <w:del w:id="63" w:author="斯羽Kelinda" w:date="2025-03-24T10:06:41Z">
        <w:r>
          <w:rPr>
            <w:rFonts w:hint="eastAsia" w:ascii="宋体" w:hAnsi="宋体" w:eastAsia="宋体" w:cs="宋体"/>
            <w:sz w:val="21"/>
            <w:szCs w:val="21"/>
            <w:lang w:val="en-US" w:eastAsia="zh-CN"/>
          </w:rPr>
          <w:delText>协同开展试点评审</w:delText>
        </w:r>
      </w:del>
    </w:p>
    <w:p w14:paraId="54CF1CD3">
      <w:pPr>
        <w:keepNext w:val="0"/>
        <w:keepLines w:val="0"/>
        <w:pageBreakBefore w:val="0"/>
        <w:widowControl w:val="0"/>
        <w:numPr>
          <w:ilvl w:val="0"/>
          <w:numId w:val="7"/>
        </w:numPr>
        <w:kinsoku/>
        <w:wordWrap/>
        <w:overflowPunct/>
        <w:topLinePunct w:val="0"/>
        <w:autoSpaceDE/>
        <w:autoSpaceDN/>
        <w:bidi w:val="0"/>
        <w:adjustRightInd/>
        <w:snapToGrid/>
        <w:ind w:firstLine="0" w:firstLineChars="0"/>
        <w:jc w:val="both"/>
        <w:textAlignment w:val="auto"/>
        <w:outlineLvl w:val="1"/>
        <w:rPr>
          <w:del w:id="65" w:author="斯羽Kelinda" w:date="2025-03-24T10:06:44Z"/>
          <w:rFonts w:hint="default" w:ascii="宋体" w:hAnsi="宋体" w:eastAsia="宋体" w:cs="宋体"/>
          <w:sz w:val="21"/>
          <w:szCs w:val="21"/>
          <w:lang w:val="en-US" w:eastAsia="zh-CN"/>
        </w:rPr>
        <w:pPrChange w:id="64" w:author="斯羽Kelinda" w:date="2025-03-24T10:06:45Z">
          <w:pPr>
            <w:keepNext w:val="0"/>
            <w:keepLines w:val="0"/>
            <w:pageBreakBefore w:val="0"/>
            <w:widowControl w:val="0"/>
            <w:numPr>
              <w:ilvl w:val="0"/>
              <w:numId w:val="7"/>
            </w:numPr>
            <w:kinsoku/>
            <w:wordWrap/>
            <w:overflowPunct/>
            <w:topLinePunct w:val="0"/>
            <w:autoSpaceDE/>
            <w:autoSpaceDN/>
            <w:bidi w:val="0"/>
            <w:adjustRightInd/>
            <w:snapToGrid/>
            <w:ind w:firstLine="420" w:firstLineChars="200"/>
            <w:jc w:val="both"/>
            <w:textAlignment w:val="auto"/>
            <w:outlineLvl w:val="1"/>
          </w:pPr>
        </w:pPrChange>
      </w:pPr>
    </w:p>
    <w:p w14:paraId="624CCBD6">
      <w:pPr>
        <w:numPr>
          <w:ilvl w:val="-1"/>
          <w:numId w:val="0"/>
        </w:numPr>
        <w:ind w:firstLine="0" w:firstLineChars="0"/>
        <w:rPr>
          <w:del w:id="67" w:author="斯羽Kelinda" w:date="2025-03-24T10:06:56Z"/>
          <w:rFonts w:hint="eastAsia" w:ascii="Times New Roman"/>
          <w:sz w:val="21"/>
          <w:szCs w:val="21"/>
          <w:lang w:val="en-US" w:eastAsia="zh-CN"/>
        </w:rPr>
        <w:pPrChange w:id="66" w:author="斯羽Kelinda" w:date="2025-03-24T10:06:44Z">
          <w:pPr>
            <w:numPr>
              <w:ilvl w:val="0"/>
              <w:numId w:val="0"/>
            </w:numPr>
            <w:ind w:firstLine="420" w:firstLineChars="200"/>
          </w:pPr>
        </w:pPrChange>
      </w:pPr>
      <w:del w:id="68" w:author="斯羽Kelinda" w:date="2025-03-24T10:06:56Z">
        <w:r>
          <w:rPr>
            <w:rFonts w:hint="eastAsia" w:ascii="Times New Roman"/>
            <w:sz w:val="21"/>
            <w:szCs w:val="21"/>
            <w:lang w:val="en-US" w:eastAsia="zh-CN"/>
          </w:rPr>
          <w:delText xml:space="preserve">试点评审，实际上成为了粤港双认证的资历。 </w:delText>
        </w:r>
      </w:del>
    </w:p>
    <w:p w14:paraId="248C22FE">
      <w:pPr>
        <w:numPr>
          <w:ilvl w:val="0"/>
          <w:numId w:val="0"/>
        </w:numPr>
        <w:ind w:firstLine="420" w:firstLineChars="200"/>
        <w:rPr>
          <w:del w:id="69" w:author="斯羽Kelinda" w:date="2025-03-24T10:07:21Z"/>
          <w:rFonts w:hint="eastAsia" w:ascii="Times New Roman"/>
          <w:sz w:val="21"/>
          <w:szCs w:val="21"/>
          <w:lang w:val="en-US" w:eastAsia="zh-CN"/>
        </w:rPr>
      </w:pPr>
      <w:del w:id="70" w:author="斯羽Kelinda" w:date="2025-03-24T10:07:21Z">
        <w:r>
          <w:rPr>
            <w:rFonts w:hint="eastAsia" w:ascii="Times New Roman"/>
            <w:sz w:val="21"/>
            <w:szCs w:val="21"/>
            <w:lang w:val="en-US" w:eastAsia="zh-CN"/>
          </w:rPr>
          <w:delText>在搭建了基本的政策框架之后，按照双方计划应该开展试点评审，但是又遇到了新的阻碍。由于广东质量保障机制的建设工作，虽然名义上有省教育厅的支持，但是并非正式的行政安排。因此，即便通过专家团队成员专家的社会网络，在院校方，也未得到支持。又因为评审文件，手续繁琐，在广东探索了多家机构后，都无果。正当此时，香港推荐了香港赛马会在广州开办的见习骑师学校参与此次评审，由于该机构在香港参与了资历架构的评估工作，对获得广东资历框架的认可也很有热情，因此试点评审终于得以开展。</w:delText>
        </w:r>
      </w:del>
    </w:p>
    <w:p w14:paraId="717A5BA7">
      <w:pPr>
        <w:numPr>
          <w:ilvl w:val="0"/>
          <w:numId w:val="0"/>
        </w:numPr>
        <w:ind w:firstLine="420" w:firstLineChars="200"/>
        <w:rPr>
          <w:del w:id="71" w:author="斯羽Kelinda" w:date="2025-03-24T10:07:21Z"/>
          <w:rFonts w:hint="eastAsia" w:ascii="Times New Roman"/>
          <w:sz w:val="21"/>
          <w:szCs w:val="21"/>
          <w:lang w:val="en-US" w:eastAsia="zh-CN"/>
        </w:rPr>
      </w:pPr>
      <w:del w:id="72" w:author="斯羽Kelinda" w:date="2025-03-24T10:07:21Z">
        <w:r>
          <w:rPr>
            <w:rFonts w:hint="eastAsia" w:ascii="Times New Roman"/>
            <w:sz w:val="21"/>
            <w:szCs w:val="21"/>
            <w:lang w:val="en-US" w:eastAsia="zh-CN"/>
          </w:rPr>
          <w:delText>通过提交评审文件、初步审核，对机构资质，等11项指标进行考核后。首先遇到的是语言问题，香港机构即使在内地评审过程来到了，都非常顺利，唯一需要确定的是级别问题，这次试点之后，见习骑师证书就成为理论上粤港双认证的资历。也被纳入资历名册。</w:delText>
        </w:r>
      </w:del>
    </w:p>
    <w:p w14:paraId="14BA6FD3">
      <w:pPr>
        <w:numPr>
          <w:ilvl w:val="0"/>
          <w:numId w:val="0"/>
        </w:numPr>
        <w:ind w:firstLine="420" w:firstLineChars="200"/>
        <w:rPr>
          <w:rFonts w:hint="default" w:ascii="Times New Roman"/>
          <w:sz w:val="21"/>
          <w:szCs w:val="21"/>
          <w:lang w:val="en-US" w:eastAsia="zh-CN"/>
        </w:rPr>
      </w:pPr>
      <w:r>
        <w:rPr>
          <w:rFonts w:hint="eastAsia" w:ascii="Times New Roman"/>
          <w:sz w:val="21"/>
          <w:szCs w:val="21"/>
          <w:lang w:val="en-US" w:eastAsia="zh-CN"/>
        </w:rPr>
        <w:t>终于来到了实地考察，这天，广东的评审专家有总组长李江、何秀文、杜怡萍、赛马专家，还有学分银行的工作人员，香港赛马会见习骑师学校的校长陈念慈、教师等等、学生，都一一进行了询问。</w:t>
      </w:r>
      <w:r>
        <w:rPr>
          <w:rFonts w:hint="default" w:ascii="Times New Roman"/>
          <w:sz w:val="21"/>
          <w:szCs w:val="21"/>
          <w:lang w:val="en-US" w:eastAsia="zh-CN"/>
        </w:rPr>
        <w:t>学校负责人讲述了在内地开设教育课程的过程，历经多年也不能获得办学资质，只能以企业内训的形式开展。广东人社部门专家介绍了香港赛马会可以通过人社部门的路径，获得社会办培训机构的资质。粤港协同合作的过程，是双方学习的过程。</w:t>
      </w:r>
    </w:p>
    <w:p w14:paraId="1CA712F4">
      <w:pPr>
        <w:numPr>
          <w:ilvl w:val="0"/>
          <w:numId w:val="0"/>
        </w:numPr>
        <w:ind w:firstLine="420" w:firstLineChars="200"/>
        <w:rPr>
          <w:rFonts w:hint="default" w:ascii="Times New Roman"/>
          <w:sz w:val="21"/>
          <w:szCs w:val="21"/>
          <w:lang w:val="en-US" w:eastAsia="zh-CN"/>
        </w:rPr>
      </w:pPr>
      <w:r>
        <w:rPr>
          <w:rFonts w:hint="default" w:ascii="Times New Roman"/>
          <w:sz w:val="21"/>
          <w:szCs w:val="21"/>
          <w:lang w:val="en-US" w:eastAsia="zh-CN"/>
        </w:rPr>
        <w:t>“如果不是这次试点评审，我们真的不知道可以通过人社的渠道去申请建立独立机构”（香港赛马会专家，20240430）</w:t>
      </w:r>
    </w:p>
    <w:p w14:paraId="473CEED3">
      <w:pPr>
        <w:numPr>
          <w:ilvl w:val="0"/>
          <w:numId w:val="0"/>
        </w:numPr>
        <w:ind w:firstLine="420" w:firstLineChars="200"/>
        <w:rPr>
          <w:rFonts w:hint="default" w:ascii="Times New Roman"/>
          <w:sz w:val="21"/>
          <w:szCs w:val="21"/>
          <w:lang w:val="en-US" w:eastAsia="zh-CN"/>
        </w:rPr>
      </w:pPr>
      <w:r>
        <w:rPr>
          <w:rFonts w:hint="default" w:ascii="Times New Roman"/>
          <w:sz w:val="21"/>
          <w:szCs w:val="21"/>
          <w:lang w:val="en-US" w:eastAsia="zh-CN"/>
        </w:rPr>
        <w:t>“2019年以来国家政策更新得非常快，大家都可以加强这个政策学习”（广东专家XW。20240430）</w:t>
      </w:r>
    </w:p>
    <w:p w14:paraId="1500214B">
      <w:pPr>
        <w:numPr>
          <w:ilvl w:val="0"/>
          <w:numId w:val="0"/>
        </w:numPr>
        <w:ind w:firstLine="420" w:firstLineChars="200"/>
        <w:rPr>
          <w:rFonts w:hint="default" w:ascii="Times New Roman"/>
          <w:sz w:val="21"/>
          <w:szCs w:val="21"/>
          <w:lang w:val="en-US" w:eastAsia="zh-CN"/>
        </w:rPr>
      </w:pPr>
      <w:r>
        <w:rPr>
          <w:rFonts w:hint="default" w:ascii="Times New Roman"/>
          <w:sz w:val="21"/>
          <w:szCs w:val="21"/>
          <w:lang w:val="en-US" w:eastAsia="zh-CN"/>
        </w:rPr>
        <w:t>你说要我忘了，就是我是觉得，你看你这一折腾我就忘了，就是那个嗯，就是我本来我们那天觉得就是走个过场嘛，但是香港的特别认真，一个是他们的，嗯，就是这个是我们当时有名单哈，就是有各个部门的负责老师，还有外国的老师，还有线上的，然后还有香港大学医学院的，就是这些人线上参加，我们的评审特别多人，我说句实话吧，那些人比如我们请的这些人的地位，资历，经验都高多了，然后我们还去评审他呢，我都觉得何德何能呢，就是但是我们这边也不是都不行吧，就是也有几个还挺好的专家，然后就是，反正组成了这么一个考核吧，然后我觉得他们回答的非常的认真，然后最让我触动我的是那个他们的校长陈念慈，他是香港的羽毛球，有羽毛。然后他在他在那个，嗯我们这个专家问他就是，你们有没有说你们只是一个企业的内训机构，那你们的资质是怎么样的？大概问了他有这个问题。</w:t>
      </w:r>
    </w:p>
    <w:p w14:paraId="3F37E197">
      <w:pPr>
        <w:numPr>
          <w:ilvl w:val="0"/>
          <w:numId w:val="0"/>
        </w:numPr>
        <w:ind w:firstLine="420" w:firstLineChars="200"/>
        <w:rPr>
          <w:rFonts w:hint="default" w:ascii="Times New Roman"/>
          <w:sz w:val="21"/>
          <w:szCs w:val="21"/>
          <w:lang w:val="en-US" w:eastAsia="zh-CN"/>
        </w:rPr>
      </w:pPr>
      <w:r>
        <w:rPr>
          <w:rFonts w:hint="default" w:ascii="Times New Roman"/>
          <w:sz w:val="21"/>
          <w:szCs w:val="21"/>
          <w:lang w:val="en-US" w:eastAsia="zh-CN"/>
        </w:rPr>
        <w:t>讲故事了，他说他们从10年前刚刚到内地建学校的时候呢，因为他们必须到内地建学校，因为香港的空间太小了，他们的马在香港生活的不好，然后他们必须到内地，借用内地的这个资源建学校，但是当时他们就想去办一个学校，因为他们需要大量的人才，他们一直在培养，但是当时他也去了国家体育总局，然后他跟李明是很好的朋友，然后他们也非常希望他们的这个学校能够建成，但是国家体育总局说他们作为一个企业是没有这个办学资质的，就是中国所有体育类的这个东西必须是国家体育总局才能才能去见的，这个东西</w:t>
      </w:r>
    </w:p>
    <w:p w14:paraId="3C69EEDB">
      <w:pPr>
        <w:numPr>
          <w:ilvl w:val="0"/>
          <w:numId w:val="0"/>
        </w:numPr>
        <w:ind w:firstLine="420" w:firstLineChars="200"/>
        <w:rPr>
          <w:rFonts w:hint="default" w:ascii="Times New Roman"/>
          <w:sz w:val="21"/>
          <w:szCs w:val="21"/>
          <w:lang w:val="en-US" w:eastAsia="zh-CN"/>
        </w:rPr>
      </w:pPr>
      <w:r>
        <w:rPr>
          <w:rFonts w:hint="default" w:ascii="Times New Roman"/>
          <w:sz w:val="21"/>
          <w:szCs w:val="21"/>
          <w:lang w:val="en-US" w:eastAsia="zh-CN"/>
        </w:rPr>
        <w:t>，然后他就没见成，然后后来又到广东省，反正又来了，会有很多地方，然后就可能是跑了10年，这个事最后都没成，然后他们只能。</w:t>
      </w:r>
    </w:p>
    <w:p w14:paraId="5B8A859D">
      <w:pPr>
        <w:numPr>
          <w:ilvl w:val="0"/>
          <w:numId w:val="0"/>
        </w:numPr>
        <w:ind w:firstLine="420" w:firstLineChars="200"/>
        <w:rPr>
          <w:rFonts w:hint="default" w:ascii="Times New Roman"/>
          <w:sz w:val="21"/>
          <w:szCs w:val="21"/>
          <w:lang w:val="en-US" w:eastAsia="zh-CN"/>
        </w:rPr>
      </w:pPr>
      <w:r>
        <w:rPr>
          <w:rFonts w:hint="default" w:ascii="Times New Roman"/>
          <w:sz w:val="21"/>
          <w:szCs w:val="21"/>
          <w:lang w:val="en-US" w:eastAsia="zh-CN"/>
        </w:rPr>
        <w:t>广东这边来的，另外其中一个专家是饿人社厅下属的一个事业单位叫职业技能鉴定指导中心，他们是做那个职业资格证的管理评估考核的这个机构。大带着他们一起来，来我们学分银行考察，然后他就他就说我们随便一个科长，出去横扫别的什么什么东西，就是我发现他们专业素质确实特别好，就这个机构。</w:t>
      </w:r>
    </w:p>
    <w:p w14:paraId="635A462F">
      <w:pPr>
        <w:numPr>
          <w:ilvl w:val="0"/>
          <w:numId w:val="0"/>
        </w:numPr>
        <w:ind w:firstLine="420" w:firstLineChars="200"/>
        <w:rPr>
          <w:rFonts w:hint="default" w:ascii="Times New Roman"/>
          <w:sz w:val="21"/>
          <w:szCs w:val="21"/>
          <w:lang w:val="en-US" w:eastAsia="zh-CN"/>
        </w:rPr>
      </w:pPr>
      <w:r>
        <w:rPr>
          <w:rFonts w:hint="default" w:ascii="Times New Roman"/>
          <w:sz w:val="21"/>
          <w:szCs w:val="21"/>
          <w:lang w:val="en-US" w:eastAsia="zh-CN"/>
        </w:rPr>
        <w:t>反正反正就是这个机构的副主任吧，这个何秀文他就说，他说你们其实可以就是不要走，不用走国家体育总局的这条线，也不用走教育部的这条线，你们可以走人社部的这条线，因为人社部现在把培训机构的这个资质开放了，开放给社会了，就是你是可以以一个社会机构的身份，去开一个培训机构的，那你这个机构是有一个就是是就是不是不只是企业的性质，是有一个社会团体的性质，然后你就可以去找你们企业员工以外的人去培训。</w:t>
      </w:r>
    </w:p>
    <w:p w14:paraId="31E4C884">
      <w:pPr>
        <w:numPr>
          <w:ilvl w:val="0"/>
          <w:numId w:val="0"/>
        </w:numPr>
        <w:ind w:firstLine="420" w:firstLineChars="200"/>
        <w:rPr>
          <w:rFonts w:hint="default" w:ascii="Times New Roman"/>
          <w:sz w:val="21"/>
          <w:szCs w:val="21"/>
          <w:lang w:val="en-US" w:eastAsia="zh-CN"/>
        </w:rPr>
      </w:pPr>
      <w:r>
        <w:rPr>
          <w:rFonts w:hint="default" w:ascii="Times New Roman"/>
          <w:sz w:val="21"/>
          <w:szCs w:val="21"/>
          <w:lang w:val="en-US" w:eastAsia="zh-CN"/>
        </w:rPr>
        <w:t>那个香港的那个他就很很激动啊，他就说我们确实不知道不了解这个事情啊，那如果不是今天这</w:t>
      </w:r>
    </w:p>
    <w:p w14:paraId="2610AB75">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i w:val="0"/>
          <w:iCs w:val="0"/>
          <w:caps w:val="0"/>
          <w:spacing w:val="0"/>
          <w:sz w:val="21"/>
          <w:szCs w:val="21"/>
          <w:shd w:val="clear" w:fill="FFFFFF"/>
          <w:lang w:val="en-US" w:eastAsia="zh-CN"/>
        </w:rPr>
      </w:pPr>
      <w:r>
        <w:rPr>
          <w:rFonts w:hint="eastAsia" w:ascii="宋体" w:hAnsi="宋体" w:eastAsia="宋体" w:cs="宋体"/>
          <w:i w:val="0"/>
          <w:iCs w:val="0"/>
          <w:caps w:val="0"/>
          <w:spacing w:val="0"/>
          <w:sz w:val="21"/>
          <w:szCs w:val="21"/>
          <w:shd w:val="clear" w:fill="FFFFFF"/>
          <w:lang w:val="en-US" w:eastAsia="zh-CN"/>
        </w:rPr>
        <w:t>陈校长，不是回答我们有没有这个计划，而是开始讲故事，她说十年前，我们刚刚准备到从化的时候 ，就想要注册一个培训机构，但是被告知不可能，她说当时他们去了国家体育总局，国家体育总局说他们不能培养运动员需要放在教育机构里面，他们又去教育系统，但是教育系统也说不可能，他们不可以用赛马学院，有学院这样的字眼，（2024.6</w:t>
      </w:r>
    </w:p>
    <w:p w14:paraId="656602D4">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香港评审局周庆邦总干事建议广东通过广泛而细致的抽样，选择多样化的试点单位，以实施更为全面的试点项目，从而推动质量保障制度逐步成熟与完善，助推广东资历框架及质量保障制度达到国际先进水平。待质量保障制度初步成熟后，评审局将在适当的时机安排专家组对广东的质量保障制度进行国际认证，以进一步提升其影响力和认可度。将香港与广东共同打造成为全国乃至国际范围内的质量保证标杆和模板。评审局愿意为广东高等院校的特色或品牌专业进行欧盟标准认证，为高等教育的国际化地位奠定基础。可学习澳大利亚把行业能力标准的能力要求与网上教学平台无缝对接的经验做法。质量保障的持续提升不仅仅是针对某一个行业，而是可以应用于所有行业。</w:t>
      </w:r>
    </w:p>
    <w:p w14:paraId="53B74898">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ins w:id="73" w:author="斯羽Kelinda" w:date="2025-02-16T20:35:35Z"/>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港专学院继续开展试点平时</w:t>
      </w:r>
    </w:p>
    <w:p w14:paraId="34EDBD97">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default" w:ascii="宋体" w:hAnsi="宋体" w:eastAsia="宋体" w:cs="宋体"/>
          <w:sz w:val="21"/>
          <w:szCs w:val="21"/>
          <w:lang w:val="en-US" w:eastAsia="zh-CN"/>
        </w:rPr>
      </w:pPr>
      <w:ins w:id="74" w:author="斯羽Kelinda" w:date="2025-02-16T20:41:17Z">
        <w:bookmarkStart w:id="1" w:name="_GoBack"/>
        <w:r>
          <w:rPr>
            <w:rFonts w:hint="default" w:ascii="宋体" w:hAnsi="宋体" w:eastAsia="宋体" w:cs="宋体"/>
            <w:sz w:val="21"/>
            <w:szCs w:val="21"/>
            <w:lang w:val="en-US" w:eastAsia="zh-CN"/>
          </w:rPr>
          <w:drawing>
            <wp:inline distT="0" distB="0" distL="114300" distR="114300">
              <wp:extent cx="3780155" cy="2094865"/>
              <wp:effectExtent l="0" t="0" r="0" b="0"/>
              <wp:docPr id="2" name="图片 2" descr="未命名文件(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25)"/>
                      <pic:cNvPicPr>
                        <a:picLocks noChangeAspect="1"/>
                      </pic:cNvPicPr>
                    </pic:nvPicPr>
                    <pic:blipFill>
                      <a:blip r:embed="rId8"/>
                      <a:stretch>
                        <a:fillRect/>
                      </a:stretch>
                    </pic:blipFill>
                    <pic:spPr>
                      <a:xfrm>
                        <a:off x="0" y="0"/>
                        <a:ext cx="3780155" cy="2094865"/>
                      </a:xfrm>
                      <a:prstGeom prst="rect">
                        <a:avLst/>
                      </a:prstGeom>
                    </pic:spPr>
                  </pic:pic>
                </a:graphicData>
              </a:graphic>
            </wp:inline>
          </w:drawing>
        </w:r>
        <w:bookmarkEnd w:id="1"/>
      </w:ins>
    </w:p>
    <w:p w14:paraId="0741A18A">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i w:val="0"/>
          <w:iCs w:val="0"/>
          <w:caps w:val="0"/>
          <w:spacing w:val="0"/>
          <w:sz w:val="21"/>
          <w:szCs w:val="21"/>
          <w:shd w:val="clear" w:fill="FFFFFF"/>
          <w:lang w:val="en-US" w:eastAsia="zh-CN"/>
        </w:rPr>
      </w:pPr>
    </w:p>
    <w:p w14:paraId="7D0F9F0C">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sz w:val="21"/>
          <w:szCs w:val="21"/>
          <w:shd w:val="clear" w:fill="FFFFFF"/>
          <w:lang w:val="en-US" w:eastAsia="zh-CN"/>
        </w:rPr>
        <w:t>结语</w:t>
      </w:r>
    </w:p>
    <w:p w14:paraId="6805FC1B">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outlineLvl w:val="2"/>
        <w:rPr>
          <w:rFonts w:hint="default"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sz w:val="21"/>
          <w:szCs w:val="21"/>
          <w:shd w:val="clear" w:fill="FFFFFF"/>
          <w:lang w:val="en-US" w:eastAsia="zh-CN"/>
        </w:rPr>
        <w:t>1.非意料后果</w:t>
      </w:r>
    </w:p>
    <w:p w14:paraId="51BE56A5">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ascii="宋体" w:hAnsi="宋体" w:eastAsia="宋体" w:cs="宋体"/>
          <w:b/>
          <w:bCs/>
          <w:i w:val="0"/>
          <w:iCs w:val="0"/>
          <w:caps w:val="0"/>
          <w:spacing w:val="0"/>
          <w:sz w:val="21"/>
          <w:szCs w:val="21"/>
          <w:shd w:val="clear" w:fill="FFFFFF"/>
          <w:lang w:val="en-US" w:eastAsia="zh-CN"/>
        </w:rPr>
      </w:pPr>
    </w:p>
    <w:p w14:paraId="068282AC">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ascii="宋体" w:hAnsi="宋体" w:eastAsia="宋体" w:cs="宋体"/>
          <w:b/>
          <w:bCs/>
          <w:i w:val="0"/>
          <w:iCs w:val="0"/>
          <w:caps w:val="0"/>
          <w:spacing w:val="0"/>
          <w:sz w:val="21"/>
          <w:szCs w:val="21"/>
          <w:shd w:val="clear" w:fill="FFFFFF"/>
          <w:lang w:val="en-US" w:eastAsia="zh-CN"/>
        </w:rPr>
        <w:sectPr>
          <w:footnotePr>
            <w:numFmt w:val="decimalEnclosedCircleChinese"/>
            <w:numRestart w:val="eachPage"/>
          </w:footnotePr>
          <w:endnotePr>
            <w:numFmt w:val="decimal"/>
          </w:endnotePr>
          <w:pgSz w:w="11906" w:h="16838"/>
          <w:pgMar w:top="1440" w:right="1800" w:bottom="1440" w:left="1800" w:header="851" w:footer="992" w:gutter="0"/>
          <w:cols w:space="425" w:num="1"/>
          <w:docGrid w:type="lines" w:linePitch="312" w:charSpace="0"/>
        </w:sectPr>
      </w:pPr>
    </w:p>
    <w:p w14:paraId="6BF1202E">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宋体" w:hAnsi="宋体" w:eastAsia="宋体" w:cs="宋体"/>
          <w:i w:val="0"/>
          <w:iCs w:val="0"/>
          <w:caps w:val="0"/>
          <w:spacing w:val="0"/>
          <w:sz w:val="21"/>
          <w:szCs w:val="21"/>
          <w:shd w:val="clear" w:fill="FFFFFF"/>
          <w:lang w:val="en-US" w:eastAsia="zh-CN"/>
        </w:rPr>
      </w:pPr>
    </w:p>
    <w:p w14:paraId="5CE34CE7">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cstheme="minorBidi"/>
          <w:i w:val="0"/>
          <w:iCs w:val="0"/>
          <w:caps w:val="0"/>
          <w:spacing w:val="0"/>
          <w:kern w:val="2"/>
          <w:sz w:val="21"/>
          <w:szCs w:val="21"/>
          <w:shd w:val="clear" w:fill="auto"/>
          <w:lang w:val="en-US" w:eastAsia="zh-CN" w:bidi="ar-SA"/>
        </w:rPr>
      </w:pPr>
    </w:p>
    <w:p w14:paraId="2B076970">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cstheme="minorBidi"/>
          <w:i w:val="0"/>
          <w:iCs w:val="0"/>
          <w:caps w:val="0"/>
          <w:spacing w:val="0"/>
          <w:kern w:val="2"/>
          <w:sz w:val="21"/>
          <w:szCs w:val="21"/>
          <w:shd w:val="clear" w:fill="auto"/>
          <w:lang w:val="en-US" w:eastAsia="zh-CN" w:bidi="ar-SA"/>
        </w:rPr>
      </w:pPr>
    </w:p>
    <w:p w14:paraId="2C2F3C1A">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cstheme="minorBidi"/>
          <w:i w:val="0"/>
          <w:iCs w:val="0"/>
          <w:caps w:val="0"/>
          <w:spacing w:val="0"/>
          <w:kern w:val="2"/>
          <w:sz w:val="21"/>
          <w:szCs w:val="21"/>
          <w:shd w:val="clear" w:fill="auto"/>
          <w:lang w:val="en-US" w:eastAsia="zh-CN" w:bidi="ar-SA"/>
        </w:rPr>
      </w:pPr>
    </w:p>
    <w:p w14:paraId="7214B08F">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cstheme="minorBidi"/>
          <w:i w:val="0"/>
          <w:iCs w:val="0"/>
          <w:caps w:val="0"/>
          <w:spacing w:val="0"/>
          <w:kern w:val="2"/>
          <w:sz w:val="21"/>
          <w:szCs w:val="21"/>
          <w:shd w:val="clear" w:fill="auto"/>
          <w:lang w:val="en-US" w:eastAsia="zh-CN" w:bidi="ar-SA"/>
        </w:rPr>
      </w:pPr>
    </w:p>
    <w:p w14:paraId="6BE24C12">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cstheme="minorBidi"/>
          <w:i w:val="0"/>
          <w:iCs w:val="0"/>
          <w:caps w:val="0"/>
          <w:spacing w:val="0"/>
          <w:kern w:val="2"/>
          <w:sz w:val="21"/>
          <w:szCs w:val="21"/>
          <w:shd w:val="clear" w:fill="auto"/>
          <w:lang w:val="en-US" w:eastAsia="zh-CN" w:bidi="ar-SA"/>
        </w:rPr>
      </w:pPr>
    </w:p>
    <w:p w14:paraId="0F5862D7">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cstheme="minorBidi"/>
          <w:i w:val="0"/>
          <w:iCs w:val="0"/>
          <w:caps w:val="0"/>
          <w:spacing w:val="0"/>
          <w:kern w:val="2"/>
          <w:sz w:val="21"/>
          <w:szCs w:val="21"/>
          <w:shd w:val="clear" w:fill="auto"/>
          <w:lang w:val="en-US" w:eastAsia="zh-CN" w:bidi="ar-SA"/>
        </w:rPr>
      </w:pPr>
    </w:p>
    <w:p w14:paraId="37604DEA"/>
    <w:p w14:paraId="43E668D7">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0">
    <w:p>
      <w:r>
        <w:separator/>
      </w:r>
    </w:p>
  </w:endnote>
  <w:endnote w:type="continuationSeparator" w:id="41">
    <w:p>
      <w:r>
        <w:continuationSeparator/>
      </w:r>
    </w:p>
  </w:endnote>
  <w:endnote w:id="0">
    <w:p w14:paraId="0970D0B3">
      <w:pPr>
        <w:pStyle w:val="3"/>
        <w:snapToGrid w:val="0"/>
      </w:pPr>
    </w:p>
    <w:p w14:paraId="35F7ACDE">
      <w:pPr>
        <w:pStyle w:val="3"/>
        <w:snapToGrid w:val="0"/>
        <w:jc w:val="center"/>
        <w:rPr>
          <w:rFonts w:hint="eastAsia"/>
          <w:b/>
          <w:bCs/>
          <w:vertAlign w:val="baseline"/>
          <w:lang w:val="en-US" w:eastAsia="zh-CN"/>
        </w:rPr>
      </w:pPr>
      <w:r>
        <w:rPr>
          <w:rFonts w:hint="eastAsia"/>
          <w:b/>
          <w:bCs/>
          <w:vertAlign w:val="baseline"/>
          <w:lang w:val="en-US" w:eastAsia="zh-CN"/>
        </w:rPr>
        <w:t>参考文献</w:t>
      </w:r>
    </w:p>
    <w:p w14:paraId="58EDFA5A">
      <w:pPr>
        <w:pStyle w:val="3"/>
        <w:snapToGrid w:val="0"/>
        <w:rPr>
          <w:rStyle w:val="10"/>
          <w:rFonts w:ascii="Times New Roman" w:hAnsi="Times New Roman" w:cs="Times New Roman"/>
          <w:vertAlign w:val="baseline"/>
        </w:rPr>
      </w:pPr>
    </w:p>
    <w:p w14:paraId="67C73BE1">
      <w:pPr>
        <w:pStyle w:val="3"/>
        <w:snapToGrid w:val="0"/>
        <w:rPr>
          <w:rFonts w:ascii="Times New Roman" w:hAnsi="Times New Roman" w:cs="Times New Roman"/>
          <w:vertAlign w:val="baseline"/>
        </w:rPr>
      </w:pPr>
      <w:r>
        <w:rPr>
          <w:rStyle w:val="10"/>
          <w:rFonts w:ascii="Times New Roman" w:hAnsi="Times New Roman" w:cs="Times New Roman"/>
          <w:vertAlign w:val="baseline"/>
        </w:rPr>
        <w:t>[</w:t>
      </w:r>
      <w:r>
        <w:rPr>
          <w:rStyle w:val="10"/>
          <w:rFonts w:ascii="Times New Roman" w:hAnsi="Times New Roman" w:cs="Times New Roman"/>
          <w:vertAlign w:val="baseline"/>
        </w:rPr>
        <w:endnoteRef/>
      </w:r>
      <w:r>
        <w:rPr>
          <w:rStyle w:val="10"/>
          <w:rFonts w:ascii="Times New Roman" w:hAnsi="Times New Roman" w:cs="Times New Roman"/>
          <w:vertAlign w:val="baseline"/>
        </w:rPr>
        <w:t>]</w:t>
      </w:r>
      <w:r>
        <w:rPr>
          <w:rFonts w:ascii="Times New Roman" w:hAnsi="Times New Roman" w:cs="Times New Roman"/>
          <w:vertAlign w:val="baseline"/>
        </w:rPr>
        <w:t xml:space="preserve"> YOUNG M. National Qualifications Frameworks as a Global Phenomenon: A comparative perspective[J]. Journal of Education and Work, 2003, 16(3): 223-237.</w:t>
      </w:r>
    </w:p>
  </w:endnote>
  <w:endnote w:id="1">
    <w:p w14:paraId="50128EC9">
      <w:pPr>
        <w:pStyle w:val="3"/>
        <w:snapToGrid w:val="0"/>
        <w:rPr>
          <w:rFonts w:ascii="Times New Roman" w:hAnsi="Times New Roman" w:cs="Times New Roman"/>
          <w:vertAlign w:val="baseline"/>
        </w:rPr>
      </w:pPr>
      <w:r>
        <w:rPr>
          <w:rStyle w:val="10"/>
          <w:rFonts w:ascii="Times New Roman" w:hAnsi="Times New Roman" w:cs="Times New Roman"/>
          <w:vertAlign w:val="baseline"/>
        </w:rPr>
        <w:t>[</w:t>
      </w:r>
      <w:r>
        <w:rPr>
          <w:rStyle w:val="10"/>
          <w:rFonts w:ascii="Times New Roman" w:hAnsi="Times New Roman" w:cs="Times New Roman"/>
          <w:vertAlign w:val="baseline"/>
        </w:rPr>
        <w:endnoteRef/>
      </w:r>
      <w:r>
        <w:rPr>
          <w:rStyle w:val="10"/>
          <w:rFonts w:ascii="Times New Roman" w:hAnsi="Times New Roman" w:cs="Times New Roman"/>
          <w:vertAlign w:val="baseline"/>
        </w:rPr>
        <w:t>]</w:t>
      </w:r>
      <w:r>
        <w:rPr>
          <w:rFonts w:ascii="Times New Roman" w:hAnsi="Times New Roman" w:cs="Times New Roman"/>
          <w:vertAlign w:val="baseline"/>
        </w:rPr>
        <w:t xml:space="preserve"> </w:t>
      </w:r>
      <w:r>
        <w:rPr>
          <w:rFonts w:hint="default" w:ascii="Times New Roman" w:hAnsi="Times New Roman" w:cs="Times New Roman"/>
          <w:vertAlign w:val="baseline"/>
        </w:rPr>
        <w:t>刘爱玲,褚欣维.博洛尼亚进程20年:欧盟高等教育一体化过程、经验与趋势[J].首都师范大学学报(社会科学版),2019,(03):160-170</w:t>
      </w:r>
    </w:p>
  </w:endnote>
  <w:endnote w:id="2">
    <w:p w14:paraId="4DE11E20">
      <w:pPr>
        <w:pStyle w:val="3"/>
        <w:snapToGrid w:val="0"/>
        <w:rPr>
          <w:rFonts w:hint="default" w:eastAsiaTheme="minorEastAsia"/>
          <w:lang w:val="en-US" w:eastAsia="zh-CN"/>
        </w:rPr>
      </w:pPr>
      <w:r>
        <w:rPr>
          <w:rStyle w:val="10"/>
        </w:rPr>
        <w:t>[</w:t>
      </w:r>
      <w:r>
        <w:rPr>
          <w:rStyle w:val="10"/>
        </w:rPr>
        <w:endnoteRef/>
      </w:r>
      <w:r>
        <w:rPr>
          <w:rStyle w:val="10"/>
        </w:rPr>
        <w:t>]</w:t>
      </w:r>
      <w:r>
        <w:t xml:space="preserve"> </w:t>
      </w:r>
      <w:r>
        <w:rPr>
          <w:rFonts w:hint="eastAsia"/>
          <w:lang w:val="en-US" w:eastAsia="zh-CN"/>
        </w:rPr>
        <w:t>全球资历框架互认</w:t>
      </w:r>
    </w:p>
  </w:endnote>
  <w:endnote w:id="3">
    <w:p w14:paraId="627F555F">
      <w:pPr>
        <w:pStyle w:val="3"/>
        <w:snapToGrid w:val="0"/>
        <w:rPr>
          <w:rFonts w:ascii="Times New Roman" w:hAnsi="Times New Roman" w:cs="Times New Roman"/>
          <w:vertAlign w:val="baseline"/>
        </w:rPr>
      </w:pPr>
      <w:r>
        <w:rPr>
          <w:rStyle w:val="10"/>
          <w:rFonts w:ascii="Times New Roman" w:hAnsi="Times New Roman" w:cs="Times New Roman"/>
          <w:vertAlign w:val="baseline"/>
        </w:rPr>
        <w:t>[</w:t>
      </w:r>
      <w:r>
        <w:rPr>
          <w:rStyle w:val="10"/>
          <w:rFonts w:ascii="Times New Roman" w:hAnsi="Times New Roman" w:cs="Times New Roman"/>
          <w:vertAlign w:val="baseline"/>
        </w:rPr>
        <w:endnoteRef/>
      </w:r>
      <w:r>
        <w:rPr>
          <w:rStyle w:val="10"/>
          <w:rFonts w:ascii="Times New Roman" w:hAnsi="Times New Roman" w:cs="Times New Roman"/>
          <w:vertAlign w:val="baseline"/>
        </w:rPr>
        <w:t>]</w:t>
      </w:r>
      <w:r>
        <w:rPr>
          <w:rFonts w:ascii="Times New Roman" w:hAnsi="Times New Roman" w:cs="Times New Roman"/>
          <w:vertAlign w:val="baseline"/>
        </w:rPr>
        <w:t xml:space="preserve"> ALLAIS S. Labour market outcomes of national qualifications frameworks in six countries[J]. Journal of Education and Work, 2017, 30(5): 457-470.</w:t>
      </w:r>
    </w:p>
  </w:endnote>
  <w:endnote w:id="4">
    <w:p w14:paraId="05A82256">
      <w:pPr>
        <w:pStyle w:val="3"/>
        <w:snapToGrid w:val="0"/>
        <w:rPr>
          <w:rFonts w:ascii="Times New Roman" w:hAnsi="Times New Roman" w:cs="Times New Roman"/>
          <w:vertAlign w:val="baseline"/>
        </w:rPr>
      </w:pPr>
      <w:r>
        <w:rPr>
          <w:rStyle w:val="10"/>
          <w:rFonts w:ascii="Times New Roman" w:hAnsi="Times New Roman" w:cs="Times New Roman"/>
          <w:vertAlign w:val="baseline"/>
        </w:rPr>
        <w:t>[</w:t>
      </w:r>
      <w:r>
        <w:rPr>
          <w:rStyle w:val="10"/>
          <w:rFonts w:ascii="Times New Roman" w:hAnsi="Times New Roman" w:cs="Times New Roman"/>
          <w:vertAlign w:val="baseline"/>
        </w:rPr>
        <w:endnoteRef/>
      </w:r>
      <w:r>
        <w:rPr>
          <w:rStyle w:val="10"/>
          <w:rFonts w:ascii="Times New Roman" w:hAnsi="Times New Roman" w:cs="Times New Roman"/>
          <w:vertAlign w:val="baseline"/>
        </w:rPr>
        <w:t>]</w:t>
      </w:r>
      <w:r>
        <w:rPr>
          <w:rFonts w:ascii="Times New Roman" w:hAnsi="Times New Roman" w:cs="Times New Roman"/>
          <w:vertAlign w:val="baseline"/>
        </w:rPr>
        <w:t xml:space="preserve"> </w:t>
      </w:r>
      <w:r>
        <w:rPr>
          <w:rFonts w:hint="default" w:ascii="Times New Roman" w:hAnsi="Times New Roman" w:cs="Times New Roman"/>
          <w:vertAlign w:val="baseline"/>
        </w:rPr>
        <w:t>高扬,王晓杰.国家资历框架下职业教育资历跨境认可：全球资历等级的实践与启示[J].中国职业技术教育,2021,(27):59-64.</w:t>
      </w:r>
    </w:p>
  </w:endnote>
  <w:endnote w:id="5">
    <w:p w14:paraId="12167DF7">
      <w:pPr>
        <w:pStyle w:val="3"/>
        <w:snapToGrid w:val="0"/>
        <w:rPr>
          <w:rFonts w:ascii="Times New Roman" w:hAnsi="Times New Roman" w:cs="Times New Roman"/>
          <w:vertAlign w:val="baseline"/>
        </w:rPr>
      </w:pPr>
      <w:r>
        <w:rPr>
          <w:rStyle w:val="10"/>
          <w:rFonts w:ascii="Times New Roman" w:hAnsi="Times New Roman" w:cs="Times New Roman"/>
          <w:vertAlign w:val="baseline"/>
        </w:rPr>
        <w:t>[</w:t>
      </w:r>
      <w:r>
        <w:rPr>
          <w:rStyle w:val="10"/>
          <w:rFonts w:ascii="Times New Roman" w:hAnsi="Times New Roman" w:cs="Times New Roman"/>
          <w:vertAlign w:val="baseline"/>
        </w:rPr>
        <w:endnoteRef/>
      </w:r>
      <w:r>
        <w:rPr>
          <w:rStyle w:val="10"/>
          <w:rFonts w:ascii="Times New Roman" w:hAnsi="Times New Roman" w:cs="Times New Roman"/>
          <w:vertAlign w:val="baseline"/>
        </w:rPr>
        <w:t>]</w:t>
      </w:r>
      <w:r>
        <w:rPr>
          <w:rFonts w:ascii="Times New Roman" w:hAnsi="Times New Roman" w:cs="Times New Roman"/>
          <w:vertAlign w:val="baseline"/>
        </w:rPr>
        <w:t xml:space="preserve"> LI Bohong, ARSAT Mahyuddin, ABDUL LATIF Adibah, AMIN Nor, HAIKAL Daing, MEN Yueyuan, LI Weicong, WANG Lisheng, ZHU Chunfeng. China-ASEAN Qualifications Framework: Pathways to mutual recognition[J]. Environment and Social Psychology, 2023, 9(2): 1745.</w:t>
      </w:r>
    </w:p>
  </w:endnote>
  <w:endnote w:id="6">
    <w:p w14:paraId="32CF2E40">
      <w:pPr>
        <w:pStyle w:val="3"/>
        <w:snapToGrid w:val="0"/>
        <w:rPr>
          <w:rFonts w:ascii="Times New Roman" w:hAnsi="Times New Roman" w:cs="Times New Roman"/>
          <w:vertAlign w:val="baseline"/>
        </w:rPr>
      </w:pPr>
      <w:r>
        <w:rPr>
          <w:rStyle w:val="10"/>
          <w:rFonts w:ascii="Times New Roman" w:hAnsi="Times New Roman" w:cs="Times New Roman"/>
          <w:vertAlign w:val="baseline"/>
        </w:rPr>
        <w:t>[</w:t>
      </w:r>
      <w:r>
        <w:rPr>
          <w:rStyle w:val="10"/>
          <w:rFonts w:ascii="Times New Roman" w:hAnsi="Times New Roman" w:cs="Times New Roman"/>
          <w:vertAlign w:val="baseline"/>
        </w:rPr>
        <w:endnoteRef/>
      </w:r>
      <w:r>
        <w:rPr>
          <w:rStyle w:val="10"/>
          <w:rFonts w:ascii="Times New Roman" w:hAnsi="Times New Roman" w:cs="Times New Roman"/>
          <w:vertAlign w:val="baseline"/>
        </w:rPr>
        <w:t>]</w:t>
      </w:r>
      <w:r>
        <w:rPr>
          <w:rFonts w:ascii="Times New Roman" w:hAnsi="Times New Roman" w:cs="Times New Roman"/>
          <w:vertAlign w:val="baseline"/>
        </w:rPr>
        <w:t>谢青松.区域资历框架的构建和对接的比较研究[J].中国职业技术教育,2019,(18):36-45.</w:t>
      </w:r>
    </w:p>
  </w:endnote>
  <w:endnote w:id="7">
    <w:p w14:paraId="24FA8BCD">
      <w:pPr>
        <w:pStyle w:val="3"/>
        <w:snapToGrid w:val="0"/>
        <w:rPr>
          <w:rFonts w:ascii="Times New Roman" w:hAnsi="Times New Roman" w:cs="Times New Roman"/>
          <w:vertAlign w:val="baseline"/>
        </w:rPr>
      </w:pPr>
      <w:r>
        <w:rPr>
          <w:rStyle w:val="10"/>
          <w:rFonts w:ascii="Times New Roman" w:hAnsi="Times New Roman" w:cs="Times New Roman"/>
          <w:vertAlign w:val="baseline"/>
        </w:rPr>
        <w:t>[</w:t>
      </w:r>
      <w:r>
        <w:rPr>
          <w:rStyle w:val="10"/>
          <w:rFonts w:ascii="Times New Roman" w:hAnsi="Times New Roman" w:cs="Times New Roman"/>
          <w:vertAlign w:val="baseline"/>
        </w:rPr>
        <w:endnoteRef/>
      </w:r>
      <w:r>
        <w:rPr>
          <w:rStyle w:val="10"/>
          <w:rFonts w:ascii="Times New Roman" w:hAnsi="Times New Roman" w:cs="Times New Roman"/>
          <w:vertAlign w:val="baseline"/>
        </w:rPr>
        <w:t>]</w:t>
      </w:r>
      <w:r>
        <w:rPr>
          <w:rFonts w:ascii="Times New Roman" w:hAnsi="Times New Roman" w:cs="Times New Roman"/>
          <w:vertAlign w:val="baseline"/>
        </w:rPr>
        <w:t xml:space="preserve"> </w:t>
      </w:r>
      <w:r>
        <w:rPr>
          <w:rFonts w:hint="default" w:ascii="Times New Roman" w:hAnsi="Times New Roman" w:cs="Times New Roman"/>
          <w:vertAlign w:val="baseline"/>
        </w:rPr>
        <w:t>高扬,王晓杰.国家资历框架下职业教育资历跨境认可：全球资历等级的实践与启示[J].中国职业技术教育,2021,(27):59-64.</w:t>
      </w:r>
    </w:p>
  </w:endnote>
  <w:endnote w:id="8">
    <w:p w14:paraId="66F5E216">
      <w:pPr>
        <w:pStyle w:val="3"/>
        <w:snapToGrid w:val="0"/>
        <w:rPr>
          <w:rFonts w:ascii="Times New Roman" w:hAnsi="Times New Roman" w:cs="Times New Roman"/>
          <w:vertAlign w:val="baseline"/>
        </w:rPr>
      </w:pPr>
      <w:r>
        <w:rPr>
          <w:rStyle w:val="10"/>
          <w:rFonts w:ascii="Times New Roman" w:hAnsi="Times New Roman" w:cs="Times New Roman"/>
          <w:vertAlign w:val="baseline"/>
        </w:rPr>
        <w:t>[</w:t>
      </w:r>
      <w:r>
        <w:rPr>
          <w:rStyle w:val="10"/>
          <w:rFonts w:ascii="Times New Roman" w:hAnsi="Times New Roman" w:cs="Times New Roman"/>
          <w:vertAlign w:val="baseline"/>
        </w:rPr>
        <w:endnoteRef/>
      </w:r>
      <w:r>
        <w:rPr>
          <w:rStyle w:val="10"/>
          <w:rFonts w:ascii="Times New Roman" w:hAnsi="Times New Roman" w:cs="Times New Roman"/>
          <w:vertAlign w:val="baseline"/>
        </w:rPr>
        <w:t>]</w:t>
      </w:r>
      <w:r>
        <w:rPr>
          <w:rFonts w:ascii="Times New Roman" w:hAnsi="Times New Roman" w:cs="Times New Roman"/>
          <w:vertAlign w:val="baseline"/>
        </w:rPr>
        <w:t xml:space="preserve"> </w:t>
      </w:r>
      <w:r>
        <w:rPr>
          <w:rFonts w:hint="default" w:ascii="Times New Roman" w:hAnsi="Times New Roman" w:cs="Times New Roman"/>
          <w:vertAlign w:val="baseline"/>
        </w:rPr>
        <w:t>朱贺玲，文雯. 从“一致”“等值”到“认可”：教育资历跨境认可的全球实践和新动向[J]. 复旦教育论坛， 2018，16（3）： 89-96.</w:t>
      </w:r>
    </w:p>
  </w:endnote>
  <w:endnote w:id="9">
    <w:p w14:paraId="48B9BEB4">
      <w:pPr>
        <w:pStyle w:val="3"/>
        <w:snapToGrid w:val="0"/>
        <w:rPr>
          <w:rFonts w:ascii="Times New Roman" w:hAnsi="Times New Roman" w:cs="Times New Roman"/>
          <w:vertAlign w:val="baseline"/>
        </w:rPr>
      </w:pPr>
      <w:r>
        <w:rPr>
          <w:rStyle w:val="10"/>
          <w:rFonts w:ascii="Times New Roman" w:hAnsi="Times New Roman" w:cs="Times New Roman"/>
          <w:vertAlign w:val="baseline"/>
        </w:rPr>
        <w:t>[</w:t>
      </w:r>
      <w:r>
        <w:rPr>
          <w:rStyle w:val="10"/>
          <w:rFonts w:ascii="Times New Roman" w:hAnsi="Times New Roman" w:cs="Times New Roman"/>
          <w:vertAlign w:val="baseline"/>
        </w:rPr>
        <w:endnoteRef/>
      </w:r>
      <w:r>
        <w:rPr>
          <w:rStyle w:val="10"/>
          <w:rFonts w:ascii="Times New Roman" w:hAnsi="Times New Roman" w:cs="Times New Roman"/>
          <w:vertAlign w:val="baseline"/>
        </w:rPr>
        <w:t>]</w:t>
      </w:r>
      <w:r>
        <w:rPr>
          <w:rFonts w:ascii="Times New Roman" w:hAnsi="Times New Roman" w:cs="Times New Roman"/>
          <w:vertAlign w:val="baseline"/>
        </w:rPr>
        <w:t xml:space="preserve"> European Union. Council Recommendation on the European Qualifications Framework for lifelong learning (2017/C 189/03)[EB/OL]. (2017-05-22)[2024-01-18].</w:t>
      </w:r>
      <w:r>
        <w:rPr>
          <w:rFonts w:hint="default" w:ascii="Times New Roman" w:hAnsi="Times New Roman" w:cs="Times New Roman"/>
          <w:vertAlign w:val="baseline"/>
        </w:rPr>
        <w:t> </w:t>
      </w:r>
      <w:r>
        <w:rPr>
          <w:rFonts w:hint="default" w:ascii="Times New Roman" w:hAnsi="Times New Roman" w:cs="Times New Roman"/>
          <w:vertAlign w:val="baseline"/>
        </w:rPr>
        <w:fldChar w:fldCharType="begin"/>
      </w:r>
      <w:r>
        <w:rPr>
          <w:rFonts w:hint="default" w:ascii="Times New Roman" w:hAnsi="Times New Roman" w:cs="Times New Roman"/>
          <w:vertAlign w:val="baseline"/>
        </w:rPr>
        <w:instrText xml:space="preserve"> HYPERLINK "https://eur-lex.europa.eu/legal-content/EN/TXT/PDF/?uri=CELEX:32017H0615(01)" \t "_blank" </w:instrText>
      </w:r>
      <w:r>
        <w:rPr>
          <w:rFonts w:hint="default" w:ascii="Times New Roman" w:hAnsi="Times New Roman" w:cs="Times New Roman"/>
          <w:vertAlign w:val="baseline"/>
        </w:rPr>
        <w:fldChar w:fldCharType="separate"/>
      </w:r>
      <w:r>
        <w:rPr>
          <w:rFonts w:hint="default" w:ascii="Times New Roman" w:hAnsi="Times New Roman" w:cs="Times New Roman"/>
          <w:vertAlign w:val="baseline"/>
        </w:rPr>
        <w:t>https://eur-lex.europa.eu/legal-content/EN/TXT/PDF/?uri=CELEX:32017H0615(01)</w:t>
      </w:r>
      <w:r>
        <w:rPr>
          <w:rFonts w:hint="default" w:ascii="Times New Roman" w:hAnsi="Times New Roman" w:cs="Times New Roman"/>
          <w:vertAlign w:val="baseline"/>
        </w:rPr>
        <w:fldChar w:fldCharType="end"/>
      </w:r>
    </w:p>
  </w:endnote>
  <w:endnote w:id="10">
    <w:p w14:paraId="518E44EB">
      <w:pPr>
        <w:pStyle w:val="3"/>
        <w:snapToGrid w:val="0"/>
        <w:rPr>
          <w:rFonts w:ascii="Times New Roman" w:hAnsi="Times New Roman" w:cs="Times New Roman"/>
          <w:vertAlign w:val="baseline"/>
        </w:rPr>
      </w:pPr>
      <w:r>
        <w:rPr>
          <w:rStyle w:val="10"/>
          <w:rFonts w:ascii="Times New Roman" w:hAnsi="Times New Roman" w:cs="Times New Roman"/>
          <w:vertAlign w:val="baseline"/>
        </w:rPr>
        <w:t>[</w:t>
      </w:r>
      <w:r>
        <w:rPr>
          <w:rStyle w:val="10"/>
          <w:rFonts w:ascii="Times New Roman" w:hAnsi="Times New Roman" w:cs="Times New Roman"/>
          <w:vertAlign w:val="baseline"/>
        </w:rPr>
        <w:endnoteRef/>
      </w:r>
      <w:r>
        <w:rPr>
          <w:rStyle w:val="10"/>
          <w:rFonts w:ascii="Times New Roman" w:hAnsi="Times New Roman" w:cs="Times New Roman"/>
          <w:vertAlign w:val="baseline"/>
        </w:rPr>
        <w:t>]</w:t>
      </w:r>
      <w:r>
        <w:rPr>
          <w:rFonts w:ascii="Times New Roman" w:hAnsi="Times New Roman" w:cs="Times New Roman"/>
          <w:vertAlign w:val="baseline"/>
        </w:rPr>
        <w:t xml:space="preserve"> </w:t>
      </w:r>
      <w:r>
        <w:rPr>
          <w:rFonts w:hint="default" w:ascii="Times New Roman" w:hAnsi="Times New Roman" w:cs="Times New Roman"/>
          <w:vertAlign w:val="baseline"/>
        </w:rPr>
        <w:t>刘爱玲,褚欣维.博洛尼亚进程20年:欧盟高等教育一体化过程、经验与趋势[J].首都师范大学学报(社会科学版),2019,(03):160-170</w:t>
      </w:r>
    </w:p>
  </w:endnote>
  <w:endnote w:id="11">
    <w:p w14:paraId="6C52BA26">
      <w:pPr>
        <w:pStyle w:val="3"/>
        <w:snapToGrid w:val="0"/>
        <w:rPr>
          <w:rFonts w:ascii="Times New Roman" w:hAnsi="Times New Roman" w:cs="Times New Roman"/>
          <w:vertAlign w:val="baseline"/>
        </w:rPr>
      </w:pPr>
      <w:r>
        <w:rPr>
          <w:rStyle w:val="10"/>
          <w:rFonts w:ascii="Times New Roman" w:hAnsi="Times New Roman" w:cs="Times New Roman"/>
          <w:vertAlign w:val="baseline"/>
        </w:rPr>
        <w:t>[</w:t>
      </w:r>
      <w:r>
        <w:rPr>
          <w:rStyle w:val="10"/>
          <w:rFonts w:ascii="Times New Roman" w:hAnsi="Times New Roman" w:cs="Times New Roman"/>
          <w:vertAlign w:val="baseline"/>
        </w:rPr>
        <w:endnoteRef/>
      </w:r>
      <w:r>
        <w:rPr>
          <w:rStyle w:val="10"/>
          <w:rFonts w:ascii="Times New Roman" w:hAnsi="Times New Roman" w:cs="Times New Roman"/>
          <w:vertAlign w:val="baseline"/>
        </w:rPr>
        <w:t>]</w:t>
      </w:r>
      <w:r>
        <w:rPr>
          <w:rFonts w:ascii="Times New Roman" w:hAnsi="Times New Roman" w:cs="Times New Roman"/>
          <w:vertAlign w:val="baseline"/>
        </w:rPr>
        <w:t xml:space="preserve">  </w:t>
      </w:r>
      <w:r>
        <w:rPr>
          <w:rFonts w:hint="default" w:ascii="Times New Roman" w:hAnsi="Times New Roman" w:cs="Times New Roman"/>
          <w:vertAlign w:val="baseline"/>
        </w:rPr>
        <w:t>ASEAN Secretariat. ASEAN Qualifications Reference Framework[EB/OL]. (2018)[2024-01-18]. </w:t>
      </w:r>
      <w:r>
        <w:rPr>
          <w:rFonts w:hint="default" w:ascii="Times New Roman" w:hAnsi="Times New Roman" w:cs="Times New Roman"/>
          <w:vertAlign w:val="baseline"/>
        </w:rPr>
        <w:fldChar w:fldCharType="begin"/>
      </w:r>
      <w:r>
        <w:rPr>
          <w:rFonts w:hint="default" w:ascii="Times New Roman" w:hAnsi="Times New Roman" w:cs="Times New Roman"/>
          <w:vertAlign w:val="baseline"/>
        </w:rPr>
        <w:instrText xml:space="preserve"> HYPERLINK "https://asean.org/wp-content/uploads/2018/12/AQRF-Publication-2018-Final.pdf" \t "_blank" </w:instrText>
      </w:r>
      <w:r>
        <w:rPr>
          <w:rFonts w:hint="default" w:ascii="Times New Roman" w:hAnsi="Times New Roman" w:cs="Times New Roman"/>
          <w:vertAlign w:val="baseline"/>
        </w:rPr>
        <w:fldChar w:fldCharType="separate"/>
      </w:r>
      <w:r>
        <w:rPr>
          <w:rFonts w:hint="default" w:ascii="Times New Roman" w:hAnsi="Times New Roman" w:cs="Times New Roman"/>
          <w:vertAlign w:val="baseline"/>
        </w:rPr>
        <w:t>https://asean.org/wp-content/uploads/2018/12/AQRF-Publication-2018-Final.pdf</w:t>
      </w:r>
      <w:r>
        <w:rPr>
          <w:rFonts w:hint="default" w:ascii="Times New Roman" w:hAnsi="Times New Roman" w:cs="Times New Roman"/>
          <w:vertAlign w:val="baseline"/>
        </w:rPr>
        <w:fldChar w:fldCharType="end"/>
      </w:r>
    </w:p>
  </w:endnote>
  <w:endnote w:id="12">
    <w:p w14:paraId="7C926D8B">
      <w:pPr>
        <w:pStyle w:val="3"/>
        <w:snapToGrid w:val="0"/>
      </w:pPr>
      <w:r>
        <w:rPr>
          <w:rStyle w:val="10"/>
        </w:rPr>
        <w:t>[</w:t>
      </w:r>
      <w:r>
        <w:rPr>
          <w:rStyle w:val="10"/>
        </w:rPr>
        <w:endnoteRef/>
      </w:r>
      <w:r>
        <w:rPr>
          <w:rStyle w:val="10"/>
        </w:rPr>
        <w:t>]</w:t>
      </w:r>
      <w:r>
        <w:rPr>
          <w:rFonts w:hint="eastAsia"/>
        </w:rPr>
        <w:t>]姜宏,胡霞.开展UK NARIC国际专业评估认证探索高职院校专业标准国际本土化实施路径[J].北京财贸职业学院学报,2023,39(02):25-31.</w:t>
      </w:r>
    </w:p>
  </w:endnote>
  <w:endnote w:id="13">
    <w:p w14:paraId="4083E2FF">
      <w:pPr>
        <w:pStyle w:val="3"/>
        <w:keepNext w:val="0"/>
        <w:keepLines w:val="0"/>
        <w:pageBreakBefore w:val="0"/>
        <w:widowControl w:val="0"/>
        <w:kinsoku/>
        <w:wordWrap w:val="0"/>
        <w:overflowPunct/>
        <w:topLinePunct w:val="0"/>
        <w:bidi w:val="0"/>
        <w:adjustRightInd/>
        <w:snapToGrid w:val="0"/>
        <w:textAlignment w:val="auto"/>
        <w:rPr>
          <w:rFonts w:hint="default" w:ascii="Times New Roman" w:hAnsi="Times New Roman" w:cs="Times New Roman"/>
          <w:vertAlign w:val="baseline"/>
        </w:rPr>
      </w:pPr>
      <w:r>
        <w:rPr>
          <w:rStyle w:val="10"/>
          <w:rFonts w:hint="default" w:ascii="Times New Roman" w:hAnsi="Times New Roman" w:cs="Times New Roman"/>
          <w:vertAlign w:val="baseline"/>
        </w:rPr>
        <w:t>[</w:t>
      </w:r>
      <w:r>
        <w:rPr>
          <w:rStyle w:val="10"/>
          <w:rFonts w:hint="default" w:ascii="Times New Roman" w:hAnsi="Times New Roman" w:cs="Times New Roman"/>
          <w:vertAlign w:val="baseline"/>
        </w:rPr>
        <w:endnoteRef/>
      </w:r>
      <w:r>
        <w:rPr>
          <w:rStyle w:val="10"/>
          <w:rFonts w:hint="default" w:ascii="Times New Roman" w:hAnsi="Times New Roman" w:cs="Times New Roman"/>
          <w:vertAlign w:val="baseline"/>
        </w:rPr>
        <w:t>]</w:t>
      </w:r>
      <w:r>
        <w:rPr>
          <w:rFonts w:hint="default" w:ascii="Times New Roman" w:hAnsi="Times New Roman" w:cs="Times New Roman"/>
          <w:vertAlign w:val="baseline"/>
        </w:rPr>
        <w:t xml:space="preserve"> </w:t>
      </w:r>
      <w:r>
        <w:rPr>
          <w:rFonts w:hint="default" w:ascii="Times New Roman" w:hAnsi="Times New Roman" w:cs="Times New Roman"/>
          <w:vertAlign w:val="baseline"/>
          <w:lang w:val="en-US" w:eastAsia="zh-CN"/>
        </w:rPr>
        <w:t>Ansell，C． ＆ Gash，A． ( 2008 ) Collaborative Governance in Theory and Practice． Journal of Public Administration Ｒesearch and Theory，18( 4) : 543 － 571．</w:t>
      </w:r>
    </w:p>
  </w:endnote>
  <w:endnote w:id="14">
    <w:p w14:paraId="21BC4512">
      <w:pPr>
        <w:pStyle w:val="3"/>
        <w:snapToGrid w:val="0"/>
        <w:rPr>
          <w:rFonts w:hint="default" w:ascii="Times New Roman" w:hAnsi="Times New Roman" w:cs="Times New Roman"/>
        </w:rPr>
      </w:pPr>
      <w:r>
        <w:rPr>
          <w:rStyle w:val="10"/>
          <w:rFonts w:hint="default" w:ascii="Times New Roman" w:hAnsi="Times New Roman" w:cs="Times New Roman"/>
          <w:vertAlign w:val="baseline"/>
        </w:rPr>
        <w:t>[</w:t>
      </w:r>
      <w:r>
        <w:rPr>
          <w:rStyle w:val="10"/>
          <w:rFonts w:hint="default" w:ascii="Times New Roman" w:hAnsi="Times New Roman" w:cs="Times New Roman"/>
          <w:vertAlign w:val="baseline"/>
        </w:rPr>
        <w:endnoteRef/>
      </w:r>
      <w:r>
        <w:rPr>
          <w:rStyle w:val="10"/>
          <w:rFonts w:hint="default" w:ascii="Times New Roman" w:hAnsi="Times New Roman" w:cs="Times New Roman"/>
          <w:vertAlign w:val="baseline"/>
        </w:rPr>
        <w:t>]</w:t>
      </w:r>
      <w:r>
        <w:rPr>
          <w:rFonts w:hint="default" w:ascii="Times New Roman" w:hAnsi="Times New Roman" w:cs="Times New Roman"/>
          <w:vertAlign w:val="baseline"/>
        </w:rPr>
        <w:t xml:space="preserve"> </w:t>
      </w:r>
      <w:r>
        <w:rPr>
          <w:rFonts w:hint="default" w:ascii="Times New Roman" w:hAnsi="Times New Roman" w:cs="Times New Roman"/>
        </w:rPr>
        <w:t>Kirk Emerson, Tina Nabatchi, Stephen Balogh, An Integrative Framework for Collaborative Governance, Journal of Public Administration Research and Theory, Volume 22, Issue 1, January 2012, Pages 1–29,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"https://doi.org/10.1093/jopart/mur011" </w:instrText>
      </w:r>
      <w:r>
        <w:rPr>
          <w:rFonts w:hint="default" w:ascii="Times New Roman" w:hAnsi="Times New Roman" w:cs="Times New Roman"/>
        </w:rPr>
        <w:fldChar w:fldCharType="separate"/>
      </w:r>
      <w:r>
        <w:rPr>
          <w:rFonts w:hint="default" w:ascii="Times New Roman" w:hAnsi="Times New Roman" w:cs="Times New Roman"/>
        </w:rPr>
        <w:t>https://doi.org/10.1093/jopart/mur011</w:t>
      </w:r>
      <w:r>
        <w:rPr>
          <w:rFonts w:hint="default" w:ascii="Times New Roman" w:hAnsi="Times New Roman" w:cs="Times New Roman"/>
        </w:rPr>
        <w:fldChar w:fldCharType="end"/>
      </w:r>
    </w:p>
  </w:endnote>
  <w:endnote w:id="15">
    <w:p w14:paraId="167F4BF2">
      <w:pPr>
        <w:pStyle w:val="3"/>
        <w:snapToGrid w:val="0"/>
      </w:pPr>
      <w:r>
        <w:rPr>
          <w:rStyle w:val="10"/>
          <w:vertAlign w:val="baseline"/>
        </w:rPr>
        <w:t>[</w:t>
      </w:r>
      <w:r>
        <w:rPr>
          <w:rStyle w:val="10"/>
          <w:vertAlign w:val="baseline"/>
        </w:rPr>
        <w:endnoteRef/>
      </w:r>
      <w:r>
        <w:rPr>
          <w:rStyle w:val="10"/>
          <w:vertAlign w:val="baseline"/>
        </w:rPr>
        <w:t>]</w:t>
      </w:r>
      <w:r>
        <w:rPr>
          <w:vertAlign w:val="baseline"/>
        </w:rPr>
        <w:t xml:space="preserve"> </w:t>
      </w:r>
      <w:r>
        <w:rPr>
          <w:rFonts w:hint="default" w:ascii="Times New Roman" w:hAnsi="Times New Roman" w:cs="Times New Roman"/>
        </w:rPr>
        <w:t>Kirk Emerson, Tina Nabatchi, Stephen Balogh, An Integrative Framework for Collaborative Governance, Journal of Public Administration Research and Theory, Volume 22, Issue 1, January 2012, Pages 1–29,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"https://doi.org/10.1093/jopart/mur011" </w:instrText>
      </w:r>
      <w:r>
        <w:rPr>
          <w:rFonts w:hint="default" w:ascii="Times New Roman" w:hAnsi="Times New Roman" w:cs="Times New Roman"/>
        </w:rPr>
        <w:fldChar w:fldCharType="separate"/>
      </w:r>
      <w:r>
        <w:rPr>
          <w:rFonts w:hint="default" w:ascii="Times New Roman" w:hAnsi="Times New Roman" w:cs="Times New Roman"/>
        </w:rPr>
        <w:t>https://doi.org/10.1093/jopart/mur011</w:t>
      </w:r>
      <w:r>
        <w:rPr>
          <w:rFonts w:hint="default" w:ascii="Times New Roman" w:hAnsi="Times New Roman" w:cs="Times New Roman"/>
        </w:rPr>
        <w:fldChar w:fldCharType="end"/>
      </w:r>
    </w:p>
  </w:endnote>
  <w:endnote w:id="16">
    <w:p w14:paraId="043EC19A">
      <w:pPr>
        <w:pStyle w:val="3"/>
        <w:keepNext w:val="0"/>
        <w:keepLines w:val="0"/>
        <w:pageBreakBefore w:val="0"/>
        <w:widowControl w:val="0"/>
        <w:kinsoku/>
        <w:wordWrap w:val="0"/>
        <w:overflowPunct/>
        <w:topLinePunct w:val="0"/>
        <w:bidi w:val="0"/>
        <w:adjustRightInd/>
        <w:snapToGrid w:val="0"/>
        <w:textAlignment w:val="auto"/>
        <w:rPr>
          <w:rFonts w:hint="default" w:ascii="Times New Roman" w:hAnsi="Times New Roman" w:cs="Times New Roman"/>
          <w:vertAlign w:val="baseline"/>
        </w:rPr>
      </w:pPr>
      <w:r>
        <w:rPr>
          <w:rStyle w:val="10"/>
          <w:rFonts w:hint="default" w:ascii="Times New Roman" w:hAnsi="Times New Roman" w:cs="Times New Roman"/>
          <w:vertAlign w:val="baseline"/>
        </w:rPr>
        <w:t>[</w:t>
      </w:r>
      <w:r>
        <w:rPr>
          <w:rStyle w:val="10"/>
          <w:rFonts w:hint="default" w:ascii="Times New Roman" w:hAnsi="Times New Roman" w:cs="Times New Roman"/>
          <w:vertAlign w:val="baseline"/>
        </w:rPr>
        <w:endnoteRef/>
      </w:r>
      <w:r>
        <w:rPr>
          <w:rStyle w:val="10"/>
          <w:rFonts w:hint="default" w:ascii="Times New Roman" w:hAnsi="Times New Roman" w:cs="Times New Roman"/>
          <w:vertAlign w:val="baseline"/>
        </w:rPr>
        <w:t>]</w:t>
      </w:r>
      <w:r>
        <w:rPr>
          <w:rFonts w:hint="default" w:ascii="Times New Roman" w:hAnsi="Times New Roman" w:eastAsia="Segoe UI" w:cs="Times New Roman"/>
          <w:i w:val="0"/>
          <w:iCs w:val="0"/>
          <w:caps w:val="0"/>
          <w:spacing w:val="0"/>
          <w:sz w:val="24"/>
          <w:szCs w:val="24"/>
          <w:shd w:val="clear" w:fill="FFFFFF"/>
          <w:vertAlign w:val="baseline"/>
        </w:rPr>
        <w:t>Sullivan, Helen &amp; Skelcher, Chris. (2002). Working Across Boundaries: Collaboration in Public Services. New York: Palgrave Macmillan.</w:t>
      </w:r>
    </w:p>
  </w:endnote>
  <w:endnote w:id="17">
    <w:p w14:paraId="20356BF0">
      <w:pPr>
        <w:pStyle w:val="3"/>
        <w:keepNext w:val="0"/>
        <w:keepLines w:val="0"/>
        <w:pageBreakBefore w:val="0"/>
        <w:widowControl w:val="0"/>
        <w:kinsoku/>
        <w:wordWrap w:val="0"/>
        <w:overflowPunct/>
        <w:topLinePunct w:val="0"/>
        <w:bidi w:val="0"/>
        <w:adjustRightInd/>
        <w:snapToGrid w:val="0"/>
        <w:textAlignment w:val="auto"/>
        <w:rPr>
          <w:ins w:id="0" w:author="斯羽Kelinda" w:date="2025-01-08T21:54:50Z"/>
          <w:vertAlign w:val="baseline"/>
        </w:rPr>
      </w:pPr>
      <w:ins w:id="1" w:author="斯羽Kelinda" w:date="2025-01-08T21:54:50Z">
        <w:r>
          <w:rPr>
            <w:rStyle w:val="10"/>
            <w:vertAlign w:val="baseline"/>
          </w:rPr>
          <w:t>[</w:t>
        </w:r>
      </w:ins>
      <w:ins w:id="2" w:author="斯羽Kelinda" w:date="2025-01-08T21:54:50Z">
        <w:r>
          <w:rPr>
            <w:rStyle w:val="10"/>
            <w:vertAlign w:val="baseline"/>
          </w:rPr>
          <w:endnoteRef/>
        </w:r>
      </w:ins>
      <w:ins w:id="3" w:author="斯羽Kelinda" w:date="2025-01-08T21:54:50Z">
        <w:r>
          <w:rPr>
            <w:rStyle w:val="10"/>
            <w:vertAlign w:val="baseline"/>
          </w:rPr>
          <w:t>]</w:t>
        </w:r>
      </w:ins>
      <w:ins w:id="4" w:author="斯羽Kelinda" w:date="2025-01-08T21:54:50Z">
        <w:r>
          <w:rPr>
            <w:vertAlign w:val="baseline"/>
          </w:rPr>
          <w:t xml:space="preserve"> </w:t>
        </w:r>
      </w:ins>
      <w:ins w:id="5" w:author="斯羽Kelinda" w:date="2025-01-08T21:54:50Z">
        <w:r>
          <w:rPr>
            <w:rFonts w:hint="eastAsia"/>
            <w:vertAlign w:val="baseline"/>
          </w:rPr>
          <w:t>苏永建.高等教育质量保障的历史演进、全球扩散与发展趋势[J].高等教育研究,2017,38(12):1-11.</w:t>
        </w:r>
      </w:ins>
    </w:p>
  </w:endnote>
  <w:endnote w:id="18">
    <w:p w14:paraId="6FF38993">
      <w:pPr>
        <w:pStyle w:val="3"/>
        <w:keepNext w:val="0"/>
        <w:keepLines w:val="0"/>
        <w:pageBreakBefore w:val="0"/>
        <w:widowControl w:val="0"/>
        <w:kinsoku/>
        <w:wordWrap w:val="0"/>
        <w:overflowPunct/>
        <w:topLinePunct w:val="0"/>
        <w:bidi w:val="0"/>
        <w:adjustRightInd/>
        <w:snapToGrid w:val="0"/>
        <w:textAlignment w:val="auto"/>
        <w:rPr>
          <w:vertAlign w:val="baseline"/>
        </w:rPr>
      </w:pPr>
      <w:r>
        <w:rPr>
          <w:rStyle w:val="10"/>
          <w:vertAlign w:val="baseline"/>
        </w:rPr>
        <w:t>[</w:t>
      </w:r>
      <w:r>
        <w:rPr>
          <w:rStyle w:val="10"/>
          <w:vertAlign w:val="baseline"/>
        </w:rPr>
        <w:endnoteRef/>
      </w:r>
      <w:r>
        <w:rPr>
          <w:rStyle w:val="10"/>
          <w:vertAlign w:val="baseline"/>
        </w:rPr>
        <w:t>]</w:t>
      </w:r>
      <w:r>
        <w:rPr>
          <w:vertAlign w:val="baseline"/>
        </w:rPr>
        <w:t xml:space="preserve"> </w:t>
      </w:r>
      <w:r>
        <w:rPr>
          <w:rFonts w:hint="eastAsia"/>
          <w:vertAlign w:val="baseline"/>
        </w:rPr>
        <w:t>苏永建.高等教育质量保障的历史演进、全球扩散与发展趋势[J].高等教育研究,2017,38(12):1-11.</w:t>
      </w:r>
    </w:p>
  </w:endnote>
  <w:endnote w:id="19">
    <w:p w14:paraId="5F741424">
      <w:pPr>
        <w:pStyle w:val="3"/>
        <w:keepNext w:val="0"/>
        <w:keepLines w:val="0"/>
        <w:pageBreakBefore w:val="0"/>
        <w:widowControl w:val="0"/>
        <w:kinsoku/>
        <w:wordWrap w:val="0"/>
        <w:overflowPunct/>
        <w:topLinePunct w:val="0"/>
        <w:bidi w:val="0"/>
        <w:adjustRightInd/>
        <w:snapToGrid w:val="0"/>
        <w:textAlignment w:val="auto"/>
        <w:rPr>
          <w:vertAlign w:val="baseline"/>
        </w:rPr>
      </w:pPr>
      <w:r>
        <w:rPr>
          <w:rStyle w:val="10"/>
          <w:vertAlign w:val="baseline"/>
        </w:rPr>
        <w:t>[</w:t>
      </w:r>
      <w:r>
        <w:rPr>
          <w:rStyle w:val="10"/>
          <w:vertAlign w:val="baseline"/>
        </w:rPr>
        <w:endnoteRef/>
      </w:r>
      <w:r>
        <w:rPr>
          <w:rStyle w:val="10"/>
          <w:vertAlign w:val="baseline"/>
        </w:rPr>
        <w:t>]</w:t>
      </w:r>
      <w:r>
        <w:rPr>
          <w:vertAlign w:val="baseline"/>
        </w:rPr>
        <w:t xml:space="preserve"> </w:t>
      </w:r>
      <w:r>
        <w:rPr>
          <w:rFonts w:hint="eastAsia"/>
          <w:vertAlign w:val="baseline"/>
        </w:rPr>
        <w:t>苏永建.高等教育质量保障的历史演进、全球扩散与发展趋势[J].高等教育研究,2017,38(12):1-11.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14:paraId="5A388F07">
      <w:pPr>
        <w:pStyle w:val="4"/>
        <w:wordWrap w:val="0"/>
      </w:pPr>
      <w:r>
        <w:rPr>
          <w:rStyle w:val="12"/>
          <w:rFonts w:ascii="Times New Roman" w:hAnsi="Times New Roman" w:cs="Times New Roman"/>
          <w:vertAlign w:val="baseline"/>
        </w:rPr>
        <w:footnoteRef/>
      </w:r>
      <w:r>
        <w:rPr>
          <w:rFonts w:ascii="Times New Roman" w:hAnsi="Times New Roman" w:cs="Times New Roman"/>
        </w:rPr>
        <w:t xml:space="preserve"> 香港学术及职业资历评审局</w:t>
      </w:r>
      <w:r>
        <w:rPr>
          <w:rFonts w:hint="eastAsia" w:ascii="Times New Roman" w:hAnsi="Times New Roman" w:cs="Times New Roman"/>
        </w:rPr>
        <w:t>官网.</w:t>
      </w:r>
      <w:r>
        <w:rPr>
          <w:rFonts w:ascii="Times New Roman" w:hAnsi="Times New Roman" w:cs="Times New Roman"/>
        </w:rPr>
        <w:t>[EB/OL].[2019-07-24]https://www.hkcaavq.edu.hk/zh-hans/</w:t>
      </w:r>
    </w:p>
  </w:footnote>
  <w:footnote w:id="1">
    <w:p w14:paraId="076983F8">
      <w:pPr>
        <w:pStyle w:val="4"/>
      </w:pPr>
      <w:r>
        <w:rPr>
          <w:rStyle w:val="12"/>
          <w:rFonts w:ascii="Times New Roman" w:hAnsi="Times New Roman" w:cs="Times New Roman"/>
          <w:vertAlign w:val="baseline"/>
        </w:rPr>
        <w:footnoteRef/>
      </w:r>
      <w:r>
        <w:rPr>
          <w:rFonts w:ascii="Times New Roman" w:hAnsi="Times New Roman" w:cs="Times New Roman"/>
        </w:rPr>
        <w:t xml:space="preserve"> 李江,阮成武.知识再生产：理解中国公共政策执行的一个新视角[J].宁夏社会科学,2024,(01):56-63.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F6CD39"/>
    <w:multiLevelType w:val="singleLevel"/>
    <w:tmpl w:val="C7F6CD39"/>
    <w:lvl w:ilvl="0" w:tentative="0">
      <w:start w:val="1"/>
      <w:numFmt w:val="bullet"/>
      <w:lvlText w:val=""/>
      <w:lvlJc w:val="left"/>
      <w:pPr>
        <w:tabs>
          <w:tab w:val="left" w:pos="420"/>
        </w:tabs>
        <w:ind w:left="840" w:hanging="420"/>
      </w:pPr>
      <w:rPr>
        <w:rFonts w:hint="default" w:ascii="Wingdings" w:hAnsi="Wingdings"/>
      </w:rPr>
    </w:lvl>
  </w:abstractNum>
  <w:abstractNum w:abstractNumId="1">
    <w:nsid w:val="CA381C1B"/>
    <w:multiLevelType w:val="singleLevel"/>
    <w:tmpl w:val="CA381C1B"/>
    <w:lvl w:ilvl="0" w:tentative="0">
      <w:start w:val="1"/>
      <w:numFmt w:val="chineseCounting"/>
      <w:suff w:val="nothing"/>
      <w:lvlText w:val="（%1）"/>
      <w:lvlJc w:val="left"/>
      <w:rPr>
        <w:rFonts w:hint="eastAsia"/>
      </w:rPr>
    </w:lvl>
  </w:abstractNum>
  <w:abstractNum w:abstractNumId="2">
    <w:nsid w:val="CDA25F87"/>
    <w:multiLevelType w:val="singleLevel"/>
    <w:tmpl w:val="CDA25F87"/>
    <w:lvl w:ilvl="0" w:tentative="0">
      <w:start w:val="1"/>
      <w:numFmt w:val="bullet"/>
      <w:lvlText w:val=""/>
      <w:lvlJc w:val="left"/>
      <w:pPr>
        <w:ind w:left="420" w:hanging="420"/>
      </w:pPr>
      <w:rPr>
        <w:rFonts w:hint="default" w:ascii="Wingdings" w:hAnsi="Wingdings"/>
      </w:rPr>
    </w:lvl>
  </w:abstractNum>
  <w:abstractNum w:abstractNumId="3">
    <w:nsid w:val="06DA57BD"/>
    <w:multiLevelType w:val="singleLevel"/>
    <w:tmpl w:val="06DA57BD"/>
    <w:lvl w:ilvl="0" w:tentative="0">
      <w:start w:val="1"/>
      <w:numFmt w:val="chineseCounting"/>
      <w:suff w:val="nothing"/>
      <w:lvlText w:val="（%1）"/>
      <w:lvlJc w:val="left"/>
      <w:rPr>
        <w:rFonts w:hint="eastAsia"/>
      </w:rPr>
    </w:lvl>
  </w:abstractNum>
  <w:abstractNum w:abstractNumId="4">
    <w:nsid w:val="21E3E499"/>
    <w:multiLevelType w:val="singleLevel"/>
    <w:tmpl w:val="21E3E499"/>
    <w:lvl w:ilvl="0" w:tentative="0">
      <w:start w:val="2"/>
      <w:numFmt w:val="chineseCounting"/>
      <w:suff w:val="nothing"/>
      <w:lvlText w:val="（%1）"/>
      <w:lvlJc w:val="left"/>
      <w:rPr>
        <w:rFonts w:hint="eastAsia"/>
      </w:rPr>
    </w:lvl>
  </w:abstractNum>
  <w:abstractNum w:abstractNumId="5">
    <w:nsid w:val="4CC88EA7"/>
    <w:multiLevelType w:val="singleLevel"/>
    <w:tmpl w:val="4CC88EA7"/>
    <w:lvl w:ilvl="0" w:tentative="0">
      <w:start w:val="1"/>
      <w:numFmt w:val="bullet"/>
      <w:lvlText w:val=""/>
      <w:lvlJc w:val="left"/>
      <w:pPr>
        <w:ind w:left="420" w:hanging="420"/>
      </w:pPr>
      <w:rPr>
        <w:rFonts w:hint="default" w:ascii="Wingdings" w:hAnsi="Wingdings"/>
      </w:rPr>
    </w:lvl>
  </w:abstractNum>
  <w:abstractNum w:abstractNumId="6">
    <w:nsid w:val="6FEB7FA2"/>
    <w:multiLevelType w:val="singleLevel"/>
    <w:tmpl w:val="6FEB7FA2"/>
    <w:lvl w:ilvl="0" w:tentative="0">
      <w:start w:val="1"/>
      <w:numFmt w:val="chineseCounting"/>
      <w:suff w:val="nothing"/>
      <w:lvlText w:val="%1、"/>
      <w:lvlJc w:val="left"/>
      <w:pPr>
        <w:ind w:left="-2"/>
      </w:pPr>
      <w:rPr>
        <w:rFonts w:hint="eastAsia"/>
      </w:r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斯羽Kelinda">
    <w15:presenceInfo w15:providerId="WPS Office" w15:userId="100680114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 w:id="4"/>
    <w:footnote w:id="5"/>
  </w:footnotePr>
  <w:endnotePr>
    <w:numFmt w:val="decimal"/>
    <w:endnote w:id="40"/>
    <w:endnote w:id="4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DF4ADA"/>
    <w:rsid w:val="01BF184B"/>
    <w:rsid w:val="0305345B"/>
    <w:rsid w:val="03486E07"/>
    <w:rsid w:val="05E377F2"/>
    <w:rsid w:val="06C46D2D"/>
    <w:rsid w:val="09DF4ADA"/>
    <w:rsid w:val="0ADB7197"/>
    <w:rsid w:val="0C0C1BF2"/>
    <w:rsid w:val="10C4627E"/>
    <w:rsid w:val="17726A26"/>
    <w:rsid w:val="18AE12EE"/>
    <w:rsid w:val="19A45AF2"/>
    <w:rsid w:val="1C085913"/>
    <w:rsid w:val="1D0324C7"/>
    <w:rsid w:val="1D9C56C9"/>
    <w:rsid w:val="223C1E72"/>
    <w:rsid w:val="23A32B73"/>
    <w:rsid w:val="23C35F5C"/>
    <w:rsid w:val="23FD144B"/>
    <w:rsid w:val="24D7357C"/>
    <w:rsid w:val="25AE15FA"/>
    <w:rsid w:val="25E55EA7"/>
    <w:rsid w:val="27282C63"/>
    <w:rsid w:val="2B207141"/>
    <w:rsid w:val="2B886128"/>
    <w:rsid w:val="2CBA0BC7"/>
    <w:rsid w:val="2DBA27E5"/>
    <w:rsid w:val="31111302"/>
    <w:rsid w:val="325925CC"/>
    <w:rsid w:val="327F2033"/>
    <w:rsid w:val="36BB0D0F"/>
    <w:rsid w:val="373830F8"/>
    <w:rsid w:val="37F7266B"/>
    <w:rsid w:val="389B56ED"/>
    <w:rsid w:val="38FA7C60"/>
    <w:rsid w:val="3E286A35"/>
    <w:rsid w:val="3E8D5AD7"/>
    <w:rsid w:val="3F03223E"/>
    <w:rsid w:val="3F6730EA"/>
    <w:rsid w:val="40487069"/>
    <w:rsid w:val="40672358"/>
    <w:rsid w:val="427C658F"/>
    <w:rsid w:val="42E56A30"/>
    <w:rsid w:val="443F7D0C"/>
    <w:rsid w:val="45287F15"/>
    <w:rsid w:val="453C0257"/>
    <w:rsid w:val="45D26ED3"/>
    <w:rsid w:val="4B4F6A7E"/>
    <w:rsid w:val="4EFB4CDF"/>
    <w:rsid w:val="5174534F"/>
    <w:rsid w:val="5354676C"/>
    <w:rsid w:val="53DC08CD"/>
    <w:rsid w:val="54825C62"/>
    <w:rsid w:val="56A01E3E"/>
    <w:rsid w:val="5AF108FD"/>
    <w:rsid w:val="5F390DEF"/>
    <w:rsid w:val="5F554997"/>
    <w:rsid w:val="626B762E"/>
    <w:rsid w:val="64A05CB5"/>
    <w:rsid w:val="65C3027E"/>
    <w:rsid w:val="65C37EAD"/>
    <w:rsid w:val="66652D12"/>
    <w:rsid w:val="685155D2"/>
    <w:rsid w:val="685F7C35"/>
    <w:rsid w:val="68A92352"/>
    <w:rsid w:val="69A268BC"/>
    <w:rsid w:val="6C05616B"/>
    <w:rsid w:val="6F95522B"/>
    <w:rsid w:val="744F4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endnote text"/>
    <w:basedOn w:val="1"/>
    <w:qFormat/>
    <w:uiPriority w:val="0"/>
    <w:pPr>
      <w:snapToGrid w:val="0"/>
      <w:jc w:val="left"/>
    </w:pPr>
  </w:style>
  <w:style w:type="paragraph" w:styleId="4">
    <w:name w:val="footnote text"/>
    <w:basedOn w:val="1"/>
    <w:qFormat/>
    <w:uiPriority w:val="0"/>
    <w:pPr>
      <w:snapToGrid w:val="0"/>
      <w:jc w:val="left"/>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ndnote reference"/>
    <w:basedOn w:val="8"/>
    <w:qFormat/>
    <w:uiPriority w:val="0"/>
    <w:rPr>
      <w:vertAlign w:val="superscript"/>
    </w:rPr>
  </w:style>
  <w:style w:type="character" w:styleId="11">
    <w:name w:val="Hyperlink"/>
    <w:basedOn w:val="8"/>
    <w:qFormat/>
    <w:uiPriority w:val="0"/>
    <w:rPr>
      <w:color w:val="0000FF"/>
      <w:u w:val="single"/>
    </w:rPr>
  </w:style>
  <w:style w:type="character" w:styleId="12">
    <w:name w:val="footnote reference"/>
    <w:basedOn w:val="8"/>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12902</Words>
  <Characters>13168</Characters>
  <Lines>0</Lines>
  <Paragraphs>0</Paragraphs>
  <TotalTime>5</TotalTime>
  <ScaleCrop>false</ScaleCrop>
  <LinksUpToDate>false</LinksUpToDate>
  <CharactersWithSpaces>13242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2024-12-22T03:56:00Z</dcterms:created>
  <dc:creator>斯羽Kelinda</dc:creator>
  <cp:lastModifiedBy>斯羽Kelinda</cp:lastModifiedBy>
  <dcterms:modified xsi:type="dcterms:W3CDTF">2025-03-24T02:11:38Z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A5E447946036411A80F9FA7D4E179C40_11</vt:lpwstr>
  </property>
  <property fmtid="{D5CDD505-2E9C-101B-9397-08002B2CF9AE}" pid="4" name="KSOTemplateDocerSaveRecord">
    <vt:lpwstr>eyJoZGlkIjoiZWM3N2E5MGZlMWY3M2QyNzk1OWEwYTY3NTIyZDJkMzkiLCJ1c2VySWQiOiIxNTY5NjQ3OTY4In0=</vt:lpwstr>
  </property>
</Properties>
</file>