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62B752">
      <w:pPr>
        <w:pStyle w:val="5"/>
        <w:spacing w:after="156"/>
        <w:rPr>
          <w:rFonts w:hint="default"/>
          <w:lang w:val="en-US" w:eastAsia="zh-CN"/>
        </w:rPr>
      </w:pPr>
      <w:r>
        <w:rPr>
          <w:rFonts w:hint="eastAsia"/>
          <w:lang w:val="en-US" w:eastAsia="zh-CN"/>
        </w:rPr>
        <w:t>粤港终身教育资历框架合作过程的认知网络分析</w:t>
      </w:r>
    </w:p>
    <w:p w14:paraId="02717D02">
      <w:pPr>
        <w:pStyle w:val="5"/>
        <w:spacing w:after="156"/>
        <w:rPr>
          <w:rFonts w:hint="default" w:ascii="楷体" w:hAnsi="楷体" w:eastAsia="楷体" w:cs="楷体"/>
          <w:b w:val="0"/>
          <w:bCs w:val="0"/>
          <w:lang w:val="en-US" w:eastAsia="zh-CN"/>
        </w:rPr>
      </w:pPr>
      <w:r>
        <w:rPr>
          <w:rFonts w:hint="eastAsia" w:ascii="楷体" w:hAnsi="楷体" w:eastAsia="楷体" w:cs="楷体"/>
          <w:b w:val="0"/>
          <w:bCs w:val="0"/>
          <w:lang w:val="en-US" w:eastAsia="zh-CN"/>
        </w:rPr>
        <w:t>——一项量化民族志研究</w:t>
      </w:r>
    </w:p>
    <w:p w14:paraId="094E38CD"/>
    <w:p w14:paraId="20418A25">
      <w:pPr>
        <w:jc w:val="center"/>
        <w:rPr>
          <w:rFonts w:hint="eastAsia"/>
        </w:rPr>
      </w:pPr>
      <w:r>
        <w:rPr>
          <w:rFonts w:hint="eastAsia"/>
        </w:rPr>
        <w:t>赵斯羽</w:t>
      </w:r>
    </w:p>
    <w:p w14:paraId="6351D82C">
      <w:pPr>
        <w:jc w:val="center"/>
        <w:rPr>
          <w:rFonts w:hint="default" w:ascii="Times New Roman" w:hAnsi="Times New Roman" w:eastAsia="宋体" w:cs="Times New Roman"/>
          <w:lang w:eastAsia="zh-CN"/>
        </w:rPr>
      </w:pPr>
      <w:r>
        <w:rPr>
          <w:rFonts w:hint="default" w:ascii="Times New Roman" w:hAnsi="Times New Roman" w:cs="Times New Roman"/>
          <w:lang w:eastAsia="zh-CN"/>
        </w:rPr>
        <w:t>（</w:t>
      </w:r>
      <w:r>
        <w:rPr>
          <w:rFonts w:hint="default" w:ascii="Times New Roman" w:hAnsi="Times New Roman" w:cs="Times New Roman"/>
          <w:lang w:val="en-US" w:eastAsia="zh-CN"/>
        </w:rPr>
        <w:t>15920434358，广州</w:t>
      </w:r>
      <w:r>
        <w:rPr>
          <w:rFonts w:hint="default" w:ascii="Times New Roman" w:hAnsi="Times New Roman" w:cs="Times New Roman"/>
          <w:lang w:eastAsia="zh-CN"/>
        </w:rPr>
        <w:t>）</w:t>
      </w:r>
    </w:p>
    <w:p w14:paraId="0D5D6424">
      <w:pPr>
        <w:jc w:val="center"/>
      </w:pPr>
    </w:p>
    <w:p w14:paraId="6D6D76D1">
      <w:pPr>
        <w:pStyle w:val="6"/>
        <w:ind w:left="0"/>
        <w:rPr>
          <w:rFonts w:hint="eastAsia"/>
        </w:rPr>
      </w:pPr>
      <w:r>
        <w:rPr>
          <w:rFonts w:hint="eastAsia" w:ascii="黑体" w:hAnsi="黑体" w:eastAsia="黑体" w:cs="黑体"/>
          <w:b w:val="0"/>
          <w:bCs/>
        </w:rPr>
        <w:t>摘  要</w:t>
      </w:r>
      <w:r>
        <w:rPr>
          <w:rFonts w:hint="eastAsia"/>
          <w:b/>
        </w:rPr>
        <w:t>：</w:t>
      </w:r>
      <w:r>
        <w:rPr>
          <w:rFonts w:hint="eastAsia"/>
          <w:highlight w:val="none"/>
          <w:lang w:val="en-US" w:eastAsia="zh-CN"/>
        </w:rPr>
        <w:t>过往资历认可</w:t>
      </w:r>
      <w:r>
        <w:rPr>
          <w:rFonts w:hint="eastAsia"/>
        </w:rPr>
        <w:t>（Recognition of Prior Learning, RPL）</w:t>
      </w:r>
      <w:r>
        <w:rPr>
          <w:rFonts w:hint="eastAsia"/>
          <w:lang w:val="en-US" w:eastAsia="zh-CN"/>
        </w:rPr>
        <w:t>是一种关注个人在工作等非正式学习过程中获得的知识和技能的评估认证方式，在实践和理论研究方面都已经有一定探索</w:t>
      </w:r>
      <w:r>
        <w:rPr>
          <w:rFonts w:hint="eastAsia"/>
        </w:rPr>
        <w:t>。本文以香港过往资历认可机制</w:t>
      </w:r>
      <w:r>
        <w:rPr>
          <w:rFonts w:hint="eastAsia"/>
          <w:lang w:eastAsia="zh-CN"/>
        </w:rPr>
        <w:t>的</w:t>
      </w:r>
      <w:r>
        <w:rPr>
          <w:rFonts w:hint="eastAsia"/>
          <w:lang w:val="en-US" w:eastAsia="zh-CN"/>
        </w:rPr>
        <w:t>政策实施过程</w:t>
      </w:r>
      <w:r>
        <w:rPr>
          <w:rFonts w:hint="eastAsia"/>
        </w:rPr>
        <w:t>为研究对象，</w:t>
      </w:r>
      <w:r>
        <w:rPr>
          <w:rFonts w:hint="eastAsia"/>
          <w:lang w:val="en-US" w:eastAsia="zh-CN"/>
        </w:rPr>
        <w:t>使用政策网络的视角，</w:t>
      </w:r>
      <w:r>
        <w:rPr>
          <w:rFonts w:hint="eastAsia"/>
        </w:rPr>
        <w:t>探析其</w:t>
      </w:r>
      <w:r>
        <w:rPr>
          <w:rFonts w:hint="eastAsia"/>
          <w:lang w:val="en-US" w:eastAsia="zh-CN"/>
        </w:rPr>
        <w:t>底层</w:t>
      </w:r>
      <w:r>
        <w:rPr>
          <w:rFonts w:hint="eastAsia"/>
        </w:rPr>
        <w:t>逻辑、</w:t>
      </w:r>
      <w:r>
        <w:rPr>
          <w:rFonts w:hint="eastAsia"/>
          <w:lang w:val="en-US" w:eastAsia="zh-CN"/>
        </w:rPr>
        <w:t>运行</w:t>
      </w:r>
      <w:r>
        <w:rPr>
          <w:rFonts w:hint="eastAsia"/>
        </w:rPr>
        <w:t>机制及启示。研究发现，香港过往资历认可</w:t>
      </w:r>
      <w:r>
        <w:rPr>
          <w:rFonts w:hint="eastAsia"/>
          <w:lang w:val="en-US" w:eastAsia="zh-CN"/>
        </w:rPr>
        <w:t>机制</w:t>
      </w:r>
      <w:r>
        <w:rPr>
          <w:rFonts w:hint="eastAsia"/>
        </w:rPr>
        <w:t>的主要经验在于通过重</w:t>
      </w:r>
      <w:r>
        <w:rPr>
          <w:rFonts w:hint="eastAsia"/>
          <w:lang w:val="en-US" w:eastAsia="zh-CN"/>
        </w:rPr>
        <w:t>置</w:t>
      </w:r>
      <w:r>
        <w:rPr>
          <w:rFonts w:hint="eastAsia"/>
        </w:rPr>
        <w:t>教育</w:t>
      </w:r>
      <w:r>
        <w:rPr>
          <w:rFonts w:hint="eastAsia"/>
          <w:lang w:val="en-US" w:eastAsia="zh-CN"/>
        </w:rPr>
        <w:t>场域</w:t>
      </w:r>
      <w:r>
        <w:rPr>
          <w:rFonts w:hint="eastAsia"/>
        </w:rPr>
        <w:t>的</w:t>
      </w:r>
      <w:r>
        <w:rPr>
          <w:rFonts w:hint="eastAsia"/>
          <w:lang w:val="en-US" w:eastAsia="zh-CN"/>
        </w:rPr>
        <w:t>利益</w:t>
      </w:r>
      <w:r>
        <w:rPr>
          <w:rFonts w:hint="eastAsia"/>
        </w:rPr>
        <w:t>关系</w:t>
      </w:r>
      <w:r>
        <w:rPr>
          <w:rFonts w:hint="eastAsia"/>
          <w:lang w:eastAsia="zh-CN"/>
        </w:rPr>
        <w:t>，</w:t>
      </w:r>
      <w:r>
        <w:rPr>
          <w:rFonts w:hint="eastAsia"/>
        </w:rPr>
        <w:t>构建跨领域政策网络</w:t>
      </w:r>
      <w:r>
        <w:rPr>
          <w:rFonts w:hint="eastAsia"/>
          <w:lang w:eastAsia="zh-CN"/>
        </w:rPr>
        <w:t>、</w:t>
      </w:r>
      <w:r>
        <w:rPr>
          <w:rFonts w:hint="eastAsia"/>
          <w:lang w:val="en-US" w:eastAsia="zh-CN"/>
        </w:rPr>
        <w:t>通用</w:t>
      </w:r>
      <w:r>
        <w:rPr>
          <w:rFonts w:hint="eastAsia"/>
        </w:rPr>
        <w:t>规则和共享文化，</w:t>
      </w:r>
      <w:r>
        <w:rPr>
          <w:rFonts w:hint="eastAsia"/>
          <w:lang w:val="en-US" w:eastAsia="zh-CN"/>
        </w:rPr>
        <w:t>实现从</w:t>
      </w:r>
      <w:r>
        <w:rPr>
          <w:rFonts w:hint="eastAsia"/>
        </w:rPr>
        <w:t>“标准制定—主体赋权—评估实施——成果应用”全过程的闭环机制，有效促进了</w:t>
      </w:r>
      <w:r>
        <w:rPr>
          <w:rFonts w:hint="eastAsia"/>
          <w:lang w:val="en-US" w:eastAsia="zh-CN"/>
        </w:rPr>
        <w:t>对多元学习成果的认证</w:t>
      </w:r>
      <w:r>
        <w:rPr>
          <w:rFonts w:hint="eastAsia"/>
        </w:rPr>
        <w:t>。</w:t>
      </w:r>
      <w:r>
        <w:rPr>
          <w:rFonts w:hint="eastAsia"/>
          <w:lang w:val="en-US" w:eastAsia="zh-CN"/>
        </w:rPr>
        <w:t>香港经验</w:t>
      </w:r>
      <w:r>
        <w:rPr>
          <w:rFonts w:hint="eastAsia"/>
        </w:rPr>
        <w:t>为</w:t>
      </w:r>
      <w:r>
        <w:rPr>
          <w:rFonts w:hint="eastAsia"/>
          <w:lang w:val="en-US" w:eastAsia="zh-CN"/>
        </w:rPr>
        <w:t>内地资历认可</w:t>
      </w:r>
      <w:r>
        <w:rPr>
          <w:rFonts w:hint="eastAsia"/>
        </w:rPr>
        <w:t>提供了</w:t>
      </w:r>
      <w:r>
        <w:rPr>
          <w:rFonts w:hint="eastAsia"/>
          <w:lang w:val="en-US" w:eastAsia="zh-CN"/>
        </w:rPr>
        <w:t>具体参考</w:t>
      </w:r>
      <w:r>
        <w:rPr>
          <w:rFonts w:hint="eastAsia"/>
          <w:lang w:eastAsia="zh-CN"/>
        </w:rPr>
        <w:t>。</w:t>
      </w:r>
    </w:p>
    <w:p w14:paraId="732F282C">
      <w:pPr>
        <w:pStyle w:val="6"/>
        <w:ind w:left="0"/>
        <w:rPr>
          <w:rFonts w:hint="eastAsia"/>
        </w:rPr>
      </w:pPr>
    </w:p>
    <w:p w14:paraId="30DBEDAF">
      <w:pPr>
        <w:pStyle w:val="6"/>
        <w:ind w:left="0"/>
      </w:pPr>
      <w:r>
        <w:rPr>
          <w:rFonts w:hint="eastAsia" w:ascii="黑体" w:hAnsi="黑体" w:eastAsia="黑体" w:cs="黑体"/>
          <w:b w:val="0"/>
          <w:bCs/>
        </w:rPr>
        <w:t>关键词</w:t>
      </w:r>
      <w:r>
        <w:rPr>
          <w:rFonts w:hint="eastAsia"/>
        </w:rPr>
        <w:t>：过往资历认可；资历框架；政策网络；</w:t>
      </w:r>
      <w:r>
        <w:rPr>
          <w:rFonts w:hint="eastAsia"/>
          <w:lang w:val="en-US" w:eastAsia="zh-CN"/>
        </w:rPr>
        <w:t>资历认可</w:t>
      </w:r>
      <w:r>
        <w:rPr>
          <w:rFonts w:hint="eastAsia"/>
        </w:rPr>
        <w:t>；</w:t>
      </w:r>
    </w:p>
    <w:p w14:paraId="003A30EA">
      <w:pPr>
        <w:pStyle w:val="6"/>
        <w:ind w:left="0"/>
      </w:pPr>
    </w:p>
    <w:p w14:paraId="5373286B">
      <w:pPr>
        <w:pStyle w:val="6"/>
        <w:ind w:left="0"/>
        <w:rPr>
          <w:rFonts w:ascii="宋体" w:hAnsi="宋体" w:eastAsia="宋体"/>
          <w:sz w:val="21"/>
          <w:szCs w:val="21"/>
        </w:rPr>
      </w:pPr>
      <w:r>
        <w:rPr>
          <w:rFonts w:hint="eastAsia" w:ascii="宋体" w:hAnsi="宋体" w:eastAsia="宋体"/>
          <w:b/>
          <w:sz w:val="21"/>
          <w:szCs w:val="21"/>
        </w:rPr>
        <w:t>作者简介</w:t>
      </w:r>
      <w:r>
        <w:rPr>
          <w:rFonts w:hint="eastAsia" w:ascii="宋体" w:hAnsi="宋体" w:eastAsia="宋体"/>
          <w:sz w:val="21"/>
          <w:szCs w:val="21"/>
        </w:rPr>
        <w:t>：赵斯羽（1</w:t>
      </w:r>
      <w:r>
        <w:rPr>
          <w:rFonts w:ascii="宋体" w:hAnsi="宋体" w:eastAsia="宋体"/>
          <w:sz w:val="21"/>
          <w:szCs w:val="21"/>
        </w:rPr>
        <w:t>986-</w:t>
      </w:r>
      <w:r>
        <w:rPr>
          <w:rFonts w:hint="eastAsia" w:ascii="宋体" w:hAnsi="宋体" w:eastAsia="宋体"/>
          <w:sz w:val="21"/>
          <w:szCs w:val="21"/>
        </w:rPr>
        <w:t xml:space="preserve">），女，山东济南人，广东开放大学学分银行管理中心，助理研究员，博士。（广东 广州 </w:t>
      </w:r>
      <w:r>
        <w:rPr>
          <w:rFonts w:ascii="宋体" w:hAnsi="宋体" w:eastAsia="宋体"/>
          <w:sz w:val="21"/>
          <w:szCs w:val="21"/>
        </w:rPr>
        <w:t>510091</w:t>
      </w:r>
      <w:r>
        <w:rPr>
          <w:rFonts w:hint="eastAsia" w:ascii="宋体" w:hAnsi="宋体" w:eastAsia="宋体"/>
          <w:sz w:val="21"/>
          <w:szCs w:val="21"/>
        </w:rPr>
        <w:t>）</w:t>
      </w:r>
    </w:p>
    <w:p w14:paraId="03E27F8C">
      <w:pPr>
        <w:pStyle w:val="6"/>
        <w:ind w:left="0"/>
        <w:rPr>
          <w:rFonts w:hint="eastAsia" w:ascii="宋体" w:hAnsi="宋体" w:eastAsia="宋体"/>
          <w:sz w:val="21"/>
          <w:szCs w:val="21"/>
          <w:lang w:eastAsia="zh-CN"/>
        </w:rPr>
      </w:pPr>
      <w:r>
        <w:rPr>
          <w:rFonts w:hint="eastAsia" w:ascii="宋体" w:hAnsi="宋体" w:eastAsia="宋体"/>
          <w:b/>
          <w:sz w:val="21"/>
          <w:szCs w:val="21"/>
        </w:rPr>
        <w:t>基金项目</w:t>
      </w:r>
      <w:r>
        <w:rPr>
          <w:rFonts w:hint="eastAsia" w:ascii="宋体" w:hAnsi="宋体" w:eastAsia="宋体"/>
          <w:sz w:val="21"/>
          <w:szCs w:val="21"/>
        </w:rPr>
        <w:t>：2024年广东省教育科学规划课题（高等教育专项）资历框架视域下粤港澳大湾区高等职业教育质量保障体系的协同构建研究（项目编号：2024GXJK143）</w:t>
      </w:r>
      <w:r>
        <w:rPr>
          <w:rFonts w:hint="eastAsia" w:ascii="宋体" w:hAnsi="宋体" w:eastAsia="宋体"/>
          <w:sz w:val="21"/>
          <w:szCs w:val="21"/>
          <w:lang w:eastAsia="zh-CN"/>
        </w:rPr>
        <w:t>、全国教育科学规划2023年国家一般课题“数字教育促进学习型社会与学习型大国建设研究”（课题批准号BKA230023)成果</w:t>
      </w:r>
    </w:p>
    <w:p w14:paraId="2343C43A">
      <w:pPr>
        <w:pStyle w:val="6"/>
        <w:ind w:left="0"/>
        <w:rPr>
          <w:rFonts w:ascii="宋体" w:hAnsi="宋体" w:eastAsia="宋体"/>
          <w:sz w:val="21"/>
          <w:szCs w:val="21"/>
        </w:rPr>
      </w:pPr>
      <w:r>
        <w:rPr>
          <w:rFonts w:hint="eastAsia" w:ascii="宋体" w:hAnsi="宋体" w:eastAsia="宋体"/>
          <w:b/>
          <w:sz w:val="21"/>
          <w:szCs w:val="21"/>
        </w:rPr>
        <w:t>中图分类号</w:t>
      </w:r>
      <w:r>
        <w:rPr>
          <w:rFonts w:hint="eastAsia" w:ascii="宋体" w:hAnsi="宋体" w:eastAsia="宋体"/>
          <w:sz w:val="21"/>
          <w:szCs w:val="21"/>
        </w:rPr>
        <w:t>：G</w:t>
      </w:r>
      <w:r>
        <w:rPr>
          <w:rFonts w:ascii="宋体" w:hAnsi="宋体" w:eastAsia="宋体"/>
          <w:sz w:val="21"/>
          <w:szCs w:val="21"/>
        </w:rPr>
        <w:t>511</w:t>
      </w:r>
      <w:r>
        <w:rPr>
          <w:rFonts w:hint="eastAsia" w:ascii="宋体" w:hAnsi="宋体" w:eastAsia="宋体"/>
          <w:sz w:val="21"/>
          <w:szCs w:val="21"/>
        </w:rPr>
        <w:t xml:space="preserve"> </w:t>
      </w:r>
      <w:r>
        <w:rPr>
          <w:rFonts w:hint="eastAsia" w:ascii="宋体" w:hAnsi="宋体" w:eastAsia="宋体"/>
          <w:b/>
          <w:sz w:val="21"/>
          <w:szCs w:val="21"/>
        </w:rPr>
        <w:t>文献标识码</w:t>
      </w:r>
      <w:r>
        <w:rPr>
          <w:rFonts w:hint="eastAsia" w:ascii="宋体" w:hAnsi="宋体" w:eastAsia="宋体"/>
          <w:sz w:val="21"/>
          <w:szCs w:val="21"/>
        </w:rPr>
        <w:t>：A</w:t>
      </w:r>
    </w:p>
    <w:p w14:paraId="1548A4BE"/>
    <w:p w14:paraId="29A53997"/>
    <w:p w14:paraId="7593E46A"/>
    <w:p w14:paraId="6151A19A">
      <w:pPr>
        <w:rPr>
          <w:rFonts w:hint="default" w:eastAsia="宋体"/>
          <w:lang w:val="en-US" w:eastAsia="zh-CN"/>
        </w:rPr>
      </w:pPr>
      <w:r>
        <w:rPr>
          <w:rFonts w:hint="eastAsia"/>
          <w:lang w:val="en-US" w:eastAsia="zh-CN"/>
        </w:rPr>
        <w:t>一、引言</w:t>
      </w:r>
      <w:bookmarkStart w:id="0" w:name="_GoBack"/>
      <w:bookmarkEnd w:id="0"/>
    </w:p>
    <w:p w14:paraId="06EA5F13">
      <w:pPr>
        <w:numPr>
          <w:ilvl w:val="0"/>
          <w:numId w:val="1"/>
        </w:numPr>
        <w:rPr>
          <w:rFonts w:hint="eastAsia"/>
          <w:lang w:val="en-US" w:eastAsia="zh-CN"/>
        </w:rPr>
      </w:pPr>
      <w:r>
        <w:rPr>
          <w:rFonts w:hint="eastAsia"/>
          <w:lang w:val="en-US" w:eastAsia="zh-CN"/>
        </w:rPr>
        <w:t>文献</w:t>
      </w:r>
    </w:p>
    <w:p w14:paraId="730563BA">
      <w:pPr>
        <w:numPr>
          <w:ilvl w:val="0"/>
          <w:numId w:val="1"/>
        </w:numPr>
        <w:rPr>
          <w:rFonts w:hint="default"/>
          <w:lang w:val="en-US" w:eastAsia="zh-CN"/>
        </w:rPr>
      </w:pPr>
      <w:r>
        <w:rPr>
          <w:rFonts w:hint="eastAsia"/>
          <w:lang w:val="en-US" w:eastAsia="zh-CN"/>
        </w:rPr>
        <w:t>理论</w:t>
      </w:r>
    </w:p>
    <w:p w14:paraId="6CBE07BA">
      <w:pPr>
        <w:rPr>
          <w:rFonts w:hint="default" w:eastAsia="宋体"/>
          <w:lang w:val="en-US" w:eastAsia="zh-CN"/>
        </w:rPr>
      </w:pPr>
      <w:r>
        <w:rPr>
          <w:rFonts w:hint="eastAsia"/>
          <w:lang w:val="en-US" w:eastAsia="zh-CN"/>
        </w:rPr>
        <w:t>四、研究方法</w:t>
      </w:r>
    </w:p>
    <w:p w14:paraId="6382A72B"/>
    <w:tbl>
      <w:tblPr>
        <w:tblStyle w:val="3"/>
        <w:tblW w:w="5000" w:type="pct"/>
        <w:tblInd w:w="-157" w:type="dxa"/>
        <w:tblLayout w:type="autofit"/>
        <w:tblCellMar>
          <w:top w:w="0" w:type="dxa"/>
          <w:left w:w="0" w:type="dxa"/>
          <w:bottom w:w="0" w:type="dxa"/>
          <w:right w:w="0" w:type="dxa"/>
        </w:tblCellMar>
      </w:tblPr>
      <w:tblGrid>
        <w:gridCol w:w="1509"/>
        <w:gridCol w:w="1741"/>
        <w:gridCol w:w="5356"/>
      </w:tblGrid>
      <w:tr w14:paraId="764A5597">
        <w:tblPrEx>
          <w:tblCellMar>
            <w:top w:w="0" w:type="dxa"/>
            <w:left w:w="0" w:type="dxa"/>
            <w:bottom w:w="0" w:type="dxa"/>
            <w:right w:w="0" w:type="dxa"/>
          </w:tblCellMar>
        </w:tblPrEx>
        <w:tc>
          <w:tcPr>
            <w:tcW w:w="0" w:type="auto"/>
            <w:tcBorders>
              <w:top w:val="single" w:color="000000" w:sz="6" w:space="0"/>
              <w:left w:val="single" w:color="000000" w:sz="6" w:space="0"/>
              <w:bottom w:val="single" w:color="000000" w:sz="6" w:space="0"/>
              <w:right w:val="single" w:color="000000" w:sz="6" w:space="0"/>
            </w:tcBorders>
            <w:tcMar>
              <w:top w:w="150" w:type="dxa"/>
              <w:left w:w="150" w:type="dxa"/>
              <w:bottom w:w="150" w:type="dxa"/>
              <w:right w:w="150" w:type="dxa"/>
            </w:tcMar>
            <w:vAlign w:val="center"/>
          </w:tcPr>
          <w:p w14:paraId="78DC966D">
            <w:pPr>
              <w:jc w:val="center"/>
              <w:rPr>
                <w:rFonts w:hint="eastAsia" w:ascii="宋体" w:hAnsi="宋体" w:eastAsia="宋体" w:cs="宋体"/>
                <w:b/>
                <w:sz w:val="18"/>
                <w:szCs w:val="18"/>
              </w:rPr>
            </w:pPr>
            <w:r>
              <w:rPr>
                <w:rFonts w:hint="eastAsia" w:ascii="宋体" w:hAnsi="宋体" w:eastAsia="宋体" w:cs="宋体"/>
                <w:b/>
                <w:sz w:val="18"/>
                <w:szCs w:val="18"/>
              </w:rPr>
              <w:t>协同要素</w:t>
            </w:r>
          </w:p>
        </w:tc>
        <w:tc>
          <w:tcPr>
            <w:tcW w:w="0" w:type="auto"/>
            <w:tcBorders>
              <w:top w:val="single" w:color="000000" w:sz="6" w:space="0"/>
              <w:left w:val="single" w:color="000000" w:sz="6" w:space="0"/>
              <w:bottom w:val="single" w:color="000000" w:sz="6" w:space="0"/>
              <w:right w:val="single" w:color="000000" w:sz="6" w:space="0"/>
            </w:tcBorders>
            <w:tcMar>
              <w:top w:w="150" w:type="dxa"/>
              <w:left w:w="150" w:type="dxa"/>
              <w:bottom w:w="150" w:type="dxa"/>
              <w:right w:w="150" w:type="dxa"/>
            </w:tcMar>
            <w:vAlign w:val="center"/>
          </w:tcPr>
          <w:p w14:paraId="0E2258A2">
            <w:pPr>
              <w:jc w:val="center"/>
              <w:rPr>
                <w:rFonts w:hint="eastAsia" w:ascii="宋体" w:hAnsi="宋体" w:eastAsia="宋体" w:cs="宋体"/>
                <w:b/>
                <w:sz w:val="18"/>
                <w:szCs w:val="18"/>
              </w:rPr>
            </w:pPr>
            <w:r>
              <w:rPr>
                <w:rFonts w:hint="eastAsia" w:ascii="宋体" w:hAnsi="宋体" w:eastAsia="宋体" w:cs="宋体"/>
                <w:b/>
                <w:sz w:val="18"/>
                <w:szCs w:val="18"/>
              </w:rPr>
              <w:t>具体编码要素</w:t>
            </w:r>
          </w:p>
        </w:tc>
        <w:tc>
          <w:tcPr>
            <w:tcW w:w="0" w:type="auto"/>
            <w:tcBorders>
              <w:top w:val="single" w:color="000000" w:sz="6" w:space="0"/>
              <w:left w:val="single" w:color="000000" w:sz="6" w:space="0"/>
              <w:bottom w:val="single" w:color="000000" w:sz="6" w:space="0"/>
              <w:right w:val="single" w:color="000000" w:sz="6" w:space="0"/>
            </w:tcBorders>
            <w:tcMar>
              <w:top w:w="150" w:type="dxa"/>
              <w:left w:w="150" w:type="dxa"/>
              <w:bottom w:w="150" w:type="dxa"/>
              <w:right w:w="150" w:type="dxa"/>
            </w:tcMar>
            <w:vAlign w:val="center"/>
          </w:tcPr>
          <w:p w14:paraId="5B209D26">
            <w:pPr>
              <w:jc w:val="center"/>
              <w:rPr>
                <w:rFonts w:hint="eastAsia" w:ascii="宋体" w:hAnsi="宋体" w:eastAsia="宋体" w:cs="宋体"/>
                <w:b/>
                <w:sz w:val="18"/>
                <w:szCs w:val="18"/>
              </w:rPr>
            </w:pPr>
            <w:r>
              <w:rPr>
                <w:rFonts w:hint="eastAsia" w:ascii="宋体" w:hAnsi="宋体" w:eastAsia="宋体" w:cs="宋体"/>
                <w:b/>
                <w:sz w:val="18"/>
                <w:szCs w:val="18"/>
              </w:rPr>
              <w:t>解释</w:t>
            </w:r>
          </w:p>
        </w:tc>
      </w:tr>
      <w:tr w14:paraId="58D4AB9D">
        <w:tblPrEx>
          <w:tblCellMar>
            <w:top w:w="0" w:type="dxa"/>
            <w:left w:w="0" w:type="dxa"/>
            <w:bottom w:w="0" w:type="dxa"/>
            <w:right w:w="0" w:type="dxa"/>
          </w:tblCellMar>
        </w:tblPrEx>
        <w:tc>
          <w:tcPr>
            <w:tcW w:w="0" w:type="auto"/>
            <w:vMerge w:val="restart"/>
            <w:tcBorders>
              <w:top w:val="single" w:color="000000" w:sz="6" w:space="0"/>
              <w:left w:val="single" w:color="000000" w:sz="6" w:space="0"/>
              <w:bottom w:val="single" w:color="000000" w:sz="6" w:space="0"/>
              <w:right w:val="single" w:color="000000" w:sz="6" w:space="0"/>
            </w:tcBorders>
            <w:tcMar>
              <w:top w:w="150" w:type="dxa"/>
              <w:left w:w="150" w:type="dxa"/>
              <w:bottom w:w="150" w:type="dxa"/>
              <w:right w:w="150" w:type="dxa"/>
            </w:tcMar>
            <w:vAlign w:val="center"/>
          </w:tcPr>
          <w:p w14:paraId="36D7F8D5">
            <w:pPr>
              <w:jc w:val="left"/>
              <w:rPr>
                <w:rFonts w:hint="eastAsia" w:ascii="宋体" w:hAnsi="宋体" w:eastAsia="宋体" w:cs="宋体"/>
                <w:sz w:val="18"/>
                <w:szCs w:val="18"/>
              </w:rPr>
            </w:pPr>
            <w:r>
              <w:rPr>
                <w:rFonts w:hint="eastAsia" w:ascii="宋体" w:hAnsi="宋体" w:eastAsia="宋体" w:cs="宋体"/>
                <w:sz w:val="18"/>
                <w:szCs w:val="18"/>
              </w:rPr>
              <w:t>规则性参与</w:t>
            </w:r>
          </w:p>
        </w:tc>
        <w:tc>
          <w:tcPr>
            <w:tcW w:w="0" w:type="auto"/>
            <w:tcBorders>
              <w:top w:val="single" w:color="000000" w:sz="6" w:space="0"/>
              <w:left w:val="single" w:color="000000" w:sz="6" w:space="0"/>
              <w:bottom w:val="single" w:color="000000" w:sz="6" w:space="0"/>
              <w:right w:val="single" w:color="000000" w:sz="6" w:space="0"/>
            </w:tcBorders>
            <w:tcMar>
              <w:top w:w="150" w:type="dxa"/>
              <w:left w:w="150" w:type="dxa"/>
              <w:bottom w:w="150" w:type="dxa"/>
              <w:right w:w="150" w:type="dxa"/>
            </w:tcMar>
            <w:vAlign w:val="center"/>
          </w:tcPr>
          <w:p w14:paraId="3F521630">
            <w:pPr>
              <w:jc w:val="left"/>
              <w:rPr>
                <w:rFonts w:hint="eastAsia" w:ascii="宋体" w:hAnsi="宋体" w:eastAsia="宋体" w:cs="宋体"/>
                <w:sz w:val="18"/>
                <w:szCs w:val="18"/>
              </w:rPr>
            </w:pPr>
            <w:r>
              <w:rPr>
                <w:rFonts w:hint="eastAsia" w:ascii="宋体" w:hAnsi="宋体" w:eastAsia="宋体" w:cs="宋体"/>
                <w:sz w:val="18"/>
                <w:szCs w:val="18"/>
              </w:rPr>
              <w:t>正式制度安排</w:t>
            </w:r>
          </w:p>
        </w:tc>
        <w:tc>
          <w:tcPr>
            <w:tcW w:w="0" w:type="auto"/>
            <w:tcBorders>
              <w:top w:val="single" w:color="000000" w:sz="6" w:space="0"/>
              <w:left w:val="single" w:color="000000" w:sz="6" w:space="0"/>
              <w:bottom w:val="single" w:color="000000" w:sz="6" w:space="0"/>
              <w:right w:val="single" w:color="000000" w:sz="6" w:space="0"/>
            </w:tcBorders>
            <w:tcMar>
              <w:top w:w="150" w:type="dxa"/>
              <w:left w:w="150" w:type="dxa"/>
              <w:bottom w:w="150" w:type="dxa"/>
              <w:right w:w="150" w:type="dxa"/>
            </w:tcMar>
            <w:vAlign w:val="center"/>
          </w:tcPr>
          <w:p w14:paraId="600D488B">
            <w:pPr>
              <w:jc w:val="left"/>
              <w:rPr>
                <w:rFonts w:hint="eastAsia" w:ascii="宋体" w:hAnsi="宋体" w:eastAsia="宋体" w:cs="宋体"/>
                <w:sz w:val="18"/>
                <w:szCs w:val="18"/>
              </w:rPr>
            </w:pPr>
            <w:r>
              <w:rPr>
                <w:rFonts w:hint="eastAsia" w:ascii="宋体" w:hAnsi="宋体" w:eastAsia="宋体" w:cs="宋体"/>
                <w:sz w:val="18"/>
                <w:szCs w:val="18"/>
              </w:rPr>
              <w:t>与合作相关的正式文档和协议，比如意向书和标准</w:t>
            </w:r>
          </w:p>
        </w:tc>
      </w:tr>
      <w:tr w14:paraId="0EC303FB">
        <w:tblPrEx>
          <w:tblCellMar>
            <w:top w:w="0" w:type="dxa"/>
            <w:left w:w="0" w:type="dxa"/>
            <w:bottom w:w="0" w:type="dxa"/>
            <w:right w:w="0" w:type="dxa"/>
          </w:tblCellMar>
        </w:tblPrEx>
        <w:tc>
          <w:tcPr>
            <w:tcW w:w="0" w:type="auto"/>
            <w:vMerge w:val="continue"/>
            <w:tcBorders>
              <w:top w:val="single" w:color="000000" w:sz="6" w:space="0"/>
              <w:left w:val="single" w:color="000000" w:sz="6" w:space="0"/>
              <w:bottom w:val="single" w:color="000000" w:sz="6" w:space="0"/>
              <w:right w:val="single" w:color="000000" w:sz="6" w:space="0"/>
            </w:tcBorders>
            <w:tcMar>
              <w:top w:w="150" w:type="dxa"/>
              <w:left w:w="150" w:type="dxa"/>
              <w:bottom w:w="150" w:type="dxa"/>
              <w:right w:w="150" w:type="dxa"/>
            </w:tcMar>
            <w:vAlign w:val="center"/>
          </w:tcPr>
          <w:p w14:paraId="6A39FDDD">
            <w:pPr>
              <w:jc w:val="left"/>
              <w:rPr>
                <w:rFonts w:hint="eastAsia" w:ascii="宋体" w:hAnsi="宋体" w:eastAsia="宋体" w:cs="宋体"/>
                <w:sz w:val="18"/>
                <w:szCs w:val="18"/>
              </w:rPr>
            </w:pPr>
          </w:p>
        </w:tc>
        <w:tc>
          <w:tcPr>
            <w:tcW w:w="0" w:type="auto"/>
            <w:tcBorders>
              <w:top w:val="single" w:color="000000" w:sz="6" w:space="0"/>
              <w:left w:val="single" w:color="000000" w:sz="6" w:space="0"/>
              <w:bottom w:val="single" w:color="000000" w:sz="6" w:space="0"/>
              <w:right w:val="single" w:color="000000" w:sz="6" w:space="0"/>
            </w:tcBorders>
            <w:tcMar>
              <w:top w:w="150" w:type="dxa"/>
              <w:left w:w="150" w:type="dxa"/>
              <w:bottom w:w="150" w:type="dxa"/>
              <w:right w:w="150" w:type="dxa"/>
            </w:tcMar>
            <w:vAlign w:val="center"/>
          </w:tcPr>
          <w:p w14:paraId="1111F921">
            <w:pPr>
              <w:jc w:val="left"/>
              <w:rPr>
                <w:rFonts w:hint="eastAsia" w:ascii="宋体" w:hAnsi="宋体" w:eastAsia="宋体" w:cs="宋体"/>
                <w:sz w:val="18"/>
                <w:szCs w:val="18"/>
              </w:rPr>
            </w:pPr>
            <w:r>
              <w:rPr>
                <w:rFonts w:hint="eastAsia" w:ascii="宋体" w:hAnsi="宋体" w:eastAsia="宋体" w:cs="宋体"/>
                <w:sz w:val="18"/>
                <w:szCs w:val="18"/>
              </w:rPr>
              <w:t>会议机制</w:t>
            </w:r>
          </w:p>
        </w:tc>
        <w:tc>
          <w:tcPr>
            <w:tcW w:w="0" w:type="auto"/>
            <w:tcBorders>
              <w:top w:val="single" w:color="000000" w:sz="6" w:space="0"/>
              <w:left w:val="single" w:color="000000" w:sz="6" w:space="0"/>
              <w:bottom w:val="single" w:color="000000" w:sz="6" w:space="0"/>
              <w:right w:val="single" w:color="000000" w:sz="6" w:space="0"/>
            </w:tcBorders>
            <w:tcMar>
              <w:top w:w="150" w:type="dxa"/>
              <w:left w:w="150" w:type="dxa"/>
              <w:bottom w:w="150" w:type="dxa"/>
              <w:right w:w="150" w:type="dxa"/>
            </w:tcMar>
            <w:vAlign w:val="center"/>
          </w:tcPr>
          <w:p w14:paraId="2E22F803">
            <w:pPr>
              <w:jc w:val="left"/>
              <w:rPr>
                <w:rFonts w:hint="eastAsia" w:ascii="宋体" w:hAnsi="宋体" w:eastAsia="宋体" w:cs="宋体"/>
                <w:sz w:val="18"/>
                <w:szCs w:val="18"/>
              </w:rPr>
            </w:pPr>
            <w:r>
              <w:rPr>
                <w:rFonts w:hint="eastAsia" w:ascii="宋体" w:hAnsi="宋体" w:eastAsia="宋体" w:cs="宋体"/>
                <w:sz w:val="18"/>
                <w:szCs w:val="18"/>
              </w:rPr>
              <w:t>定期召开会议或研讨会以促进交流与决策</w:t>
            </w:r>
          </w:p>
        </w:tc>
      </w:tr>
      <w:tr w14:paraId="215D7A8B">
        <w:tblPrEx>
          <w:tblCellMar>
            <w:top w:w="0" w:type="dxa"/>
            <w:left w:w="0" w:type="dxa"/>
            <w:bottom w:w="0" w:type="dxa"/>
            <w:right w:w="0" w:type="dxa"/>
          </w:tblCellMar>
        </w:tblPrEx>
        <w:tc>
          <w:tcPr>
            <w:tcW w:w="0" w:type="auto"/>
            <w:vMerge w:val="continue"/>
            <w:tcBorders>
              <w:top w:val="single" w:color="000000" w:sz="6" w:space="0"/>
              <w:left w:val="single" w:color="000000" w:sz="6" w:space="0"/>
              <w:bottom w:val="single" w:color="000000" w:sz="6" w:space="0"/>
              <w:right w:val="single" w:color="000000" w:sz="6" w:space="0"/>
            </w:tcBorders>
            <w:tcMar>
              <w:top w:w="150" w:type="dxa"/>
              <w:left w:w="150" w:type="dxa"/>
              <w:bottom w:w="150" w:type="dxa"/>
              <w:right w:w="150" w:type="dxa"/>
            </w:tcMar>
            <w:vAlign w:val="center"/>
          </w:tcPr>
          <w:p w14:paraId="00B60020">
            <w:pPr>
              <w:jc w:val="left"/>
              <w:rPr>
                <w:rFonts w:hint="eastAsia" w:ascii="宋体" w:hAnsi="宋体" w:eastAsia="宋体" w:cs="宋体"/>
                <w:sz w:val="18"/>
                <w:szCs w:val="18"/>
              </w:rPr>
            </w:pPr>
          </w:p>
        </w:tc>
        <w:tc>
          <w:tcPr>
            <w:tcW w:w="0" w:type="auto"/>
            <w:tcBorders>
              <w:top w:val="single" w:color="000000" w:sz="6" w:space="0"/>
              <w:left w:val="single" w:color="000000" w:sz="6" w:space="0"/>
              <w:bottom w:val="single" w:color="000000" w:sz="6" w:space="0"/>
              <w:right w:val="single" w:color="000000" w:sz="6" w:space="0"/>
            </w:tcBorders>
            <w:tcMar>
              <w:top w:w="150" w:type="dxa"/>
              <w:left w:w="150" w:type="dxa"/>
              <w:bottom w:w="150" w:type="dxa"/>
              <w:right w:w="150" w:type="dxa"/>
            </w:tcMar>
            <w:vAlign w:val="center"/>
          </w:tcPr>
          <w:p w14:paraId="0ADA8AD5">
            <w:pPr>
              <w:jc w:val="left"/>
              <w:rPr>
                <w:rFonts w:hint="eastAsia" w:ascii="宋体" w:hAnsi="宋体" w:eastAsia="宋体" w:cs="宋体"/>
                <w:sz w:val="18"/>
                <w:szCs w:val="18"/>
              </w:rPr>
            </w:pPr>
            <w:r>
              <w:rPr>
                <w:rFonts w:hint="eastAsia" w:ascii="宋体" w:hAnsi="宋体" w:eastAsia="宋体" w:cs="宋体"/>
                <w:sz w:val="18"/>
                <w:szCs w:val="18"/>
              </w:rPr>
              <w:t>信息共享</w:t>
            </w:r>
          </w:p>
        </w:tc>
        <w:tc>
          <w:tcPr>
            <w:tcW w:w="0" w:type="auto"/>
            <w:tcBorders>
              <w:top w:val="single" w:color="000000" w:sz="6" w:space="0"/>
              <w:left w:val="single" w:color="000000" w:sz="6" w:space="0"/>
              <w:bottom w:val="single" w:color="000000" w:sz="6" w:space="0"/>
              <w:right w:val="single" w:color="000000" w:sz="6" w:space="0"/>
            </w:tcBorders>
            <w:tcMar>
              <w:top w:w="150" w:type="dxa"/>
              <w:left w:w="150" w:type="dxa"/>
              <w:bottom w:w="150" w:type="dxa"/>
              <w:right w:w="150" w:type="dxa"/>
            </w:tcMar>
            <w:vAlign w:val="center"/>
          </w:tcPr>
          <w:p w14:paraId="30F09032">
            <w:pPr>
              <w:jc w:val="left"/>
              <w:rPr>
                <w:rFonts w:hint="eastAsia" w:ascii="宋体" w:hAnsi="宋体" w:eastAsia="宋体" w:cs="宋体"/>
                <w:sz w:val="18"/>
                <w:szCs w:val="18"/>
              </w:rPr>
            </w:pPr>
            <w:r>
              <w:rPr>
                <w:rFonts w:hint="eastAsia" w:ascii="宋体" w:hAnsi="宋体" w:eastAsia="宋体" w:cs="宋体"/>
                <w:sz w:val="18"/>
                <w:szCs w:val="18"/>
              </w:rPr>
              <w:t>在合作过程中双方信息的透明和共享</w:t>
            </w:r>
          </w:p>
        </w:tc>
      </w:tr>
      <w:tr w14:paraId="3FFF374F">
        <w:tblPrEx>
          <w:tblCellMar>
            <w:top w:w="0" w:type="dxa"/>
            <w:left w:w="0" w:type="dxa"/>
            <w:bottom w:w="0" w:type="dxa"/>
            <w:right w:w="0" w:type="dxa"/>
          </w:tblCellMar>
        </w:tblPrEx>
        <w:tc>
          <w:tcPr>
            <w:tcW w:w="0" w:type="auto"/>
            <w:vMerge w:val="continue"/>
            <w:tcBorders>
              <w:top w:val="single" w:color="000000" w:sz="6" w:space="0"/>
              <w:left w:val="single" w:color="000000" w:sz="6" w:space="0"/>
              <w:bottom w:val="single" w:color="000000" w:sz="6" w:space="0"/>
              <w:right w:val="single" w:color="000000" w:sz="6" w:space="0"/>
            </w:tcBorders>
            <w:tcMar>
              <w:top w:w="150" w:type="dxa"/>
              <w:left w:w="150" w:type="dxa"/>
              <w:bottom w:w="150" w:type="dxa"/>
              <w:right w:w="150" w:type="dxa"/>
            </w:tcMar>
            <w:vAlign w:val="center"/>
          </w:tcPr>
          <w:p w14:paraId="19928E7F">
            <w:pPr>
              <w:jc w:val="left"/>
              <w:rPr>
                <w:rFonts w:hint="eastAsia" w:ascii="宋体" w:hAnsi="宋体" w:eastAsia="宋体" w:cs="宋体"/>
                <w:sz w:val="18"/>
                <w:szCs w:val="18"/>
              </w:rPr>
            </w:pPr>
          </w:p>
        </w:tc>
        <w:tc>
          <w:tcPr>
            <w:tcW w:w="0" w:type="auto"/>
            <w:tcBorders>
              <w:top w:val="single" w:color="000000" w:sz="6" w:space="0"/>
              <w:left w:val="single" w:color="000000" w:sz="6" w:space="0"/>
              <w:bottom w:val="single" w:color="000000" w:sz="6" w:space="0"/>
              <w:right w:val="single" w:color="000000" w:sz="6" w:space="0"/>
            </w:tcBorders>
            <w:tcMar>
              <w:top w:w="150" w:type="dxa"/>
              <w:left w:w="150" w:type="dxa"/>
              <w:bottom w:w="150" w:type="dxa"/>
              <w:right w:w="150" w:type="dxa"/>
            </w:tcMar>
            <w:vAlign w:val="center"/>
          </w:tcPr>
          <w:p w14:paraId="5F28ADB2">
            <w:pPr>
              <w:jc w:val="left"/>
              <w:rPr>
                <w:rFonts w:hint="eastAsia" w:ascii="宋体" w:hAnsi="宋体" w:eastAsia="宋体" w:cs="宋体"/>
                <w:sz w:val="18"/>
                <w:szCs w:val="18"/>
              </w:rPr>
            </w:pPr>
            <w:r>
              <w:rPr>
                <w:rFonts w:hint="eastAsia" w:ascii="宋体" w:hAnsi="宋体" w:eastAsia="宋体" w:cs="宋体"/>
                <w:sz w:val="18"/>
                <w:szCs w:val="18"/>
              </w:rPr>
              <w:t>决策参与</w:t>
            </w:r>
          </w:p>
        </w:tc>
        <w:tc>
          <w:tcPr>
            <w:tcW w:w="0" w:type="auto"/>
            <w:tcBorders>
              <w:top w:val="single" w:color="000000" w:sz="6" w:space="0"/>
              <w:left w:val="single" w:color="000000" w:sz="6" w:space="0"/>
              <w:bottom w:val="single" w:color="000000" w:sz="6" w:space="0"/>
              <w:right w:val="single" w:color="000000" w:sz="6" w:space="0"/>
            </w:tcBorders>
            <w:tcMar>
              <w:top w:w="150" w:type="dxa"/>
              <w:left w:w="150" w:type="dxa"/>
              <w:bottom w:w="150" w:type="dxa"/>
              <w:right w:w="150" w:type="dxa"/>
            </w:tcMar>
            <w:vAlign w:val="center"/>
          </w:tcPr>
          <w:p w14:paraId="77824859">
            <w:pPr>
              <w:jc w:val="left"/>
              <w:rPr>
                <w:rFonts w:hint="eastAsia" w:ascii="宋体" w:hAnsi="宋体" w:eastAsia="宋体" w:cs="宋体"/>
                <w:sz w:val="18"/>
                <w:szCs w:val="18"/>
              </w:rPr>
            </w:pPr>
            <w:r>
              <w:rPr>
                <w:rFonts w:hint="eastAsia" w:ascii="宋体" w:hAnsi="宋体" w:eastAsia="宋体" w:cs="宋体"/>
                <w:sz w:val="18"/>
                <w:szCs w:val="18"/>
              </w:rPr>
              <w:t>各方在决策过程中的参与度和方式</w:t>
            </w:r>
          </w:p>
        </w:tc>
      </w:tr>
      <w:tr w14:paraId="19FF6189">
        <w:tblPrEx>
          <w:tblCellMar>
            <w:top w:w="0" w:type="dxa"/>
            <w:left w:w="0" w:type="dxa"/>
            <w:bottom w:w="0" w:type="dxa"/>
            <w:right w:w="0" w:type="dxa"/>
          </w:tblCellMar>
        </w:tblPrEx>
        <w:tc>
          <w:tcPr>
            <w:tcW w:w="0" w:type="auto"/>
            <w:vMerge w:val="restart"/>
            <w:tcBorders>
              <w:top w:val="single" w:color="000000" w:sz="6" w:space="0"/>
              <w:left w:val="single" w:color="000000" w:sz="6" w:space="0"/>
              <w:bottom w:val="single" w:color="000000" w:sz="6" w:space="0"/>
              <w:right w:val="single" w:color="000000" w:sz="6" w:space="0"/>
            </w:tcBorders>
            <w:tcMar>
              <w:top w:w="150" w:type="dxa"/>
              <w:left w:w="150" w:type="dxa"/>
              <w:bottom w:w="150" w:type="dxa"/>
              <w:right w:w="150" w:type="dxa"/>
            </w:tcMar>
            <w:vAlign w:val="center"/>
          </w:tcPr>
          <w:p w14:paraId="1C6BF2C3">
            <w:pPr>
              <w:jc w:val="left"/>
              <w:rPr>
                <w:rFonts w:hint="eastAsia" w:ascii="宋体" w:hAnsi="宋体" w:eastAsia="宋体" w:cs="宋体"/>
                <w:sz w:val="18"/>
                <w:szCs w:val="18"/>
              </w:rPr>
            </w:pPr>
            <w:r>
              <w:rPr>
                <w:rFonts w:hint="eastAsia" w:ascii="宋体" w:hAnsi="宋体" w:eastAsia="宋体" w:cs="宋体"/>
                <w:sz w:val="18"/>
                <w:szCs w:val="18"/>
              </w:rPr>
              <w:t>共识动机</w:t>
            </w:r>
          </w:p>
        </w:tc>
        <w:tc>
          <w:tcPr>
            <w:tcW w:w="0" w:type="auto"/>
            <w:tcBorders>
              <w:top w:val="single" w:color="000000" w:sz="6" w:space="0"/>
              <w:left w:val="single" w:color="000000" w:sz="6" w:space="0"/>
              <w:bottom w:val="single" w:color="000000" w:sz="6" w:space="0"/>
              <w:right w:val="single" w:color="000000" w:sz="6" w:space="0"/>
            </w:tcBorders>
            <w:tcMar>
              <w:top w:w="150" w:type="dxa"/>
              <w:left w:w="150" w:type="dxa"/>
              <w:bottom w:w="150" w:type="dxa"/>
              <w:right w:w="150" w:type="dxa"/>
            </w:tcMar>
            <w:vAlign w:val="center"/>
          </w:tcPr>
          <w:p w14:paraId="04F4EED3">
            <w:pPr>
              <w:jc w:val="left"/>
              <w:rPr>
                <w:rFonts w:hint="eastAsia" w:ascii="宋体" w:hAnsi="宋体" w:eastAsia="宋体" w:cs="宋体"/>
                <w:sz w:val="18"/>
                <w:szCs w:val="18"/>
              </w:rPr>
            </w:pPr>
            <w:r>
              <w:rPr>
                <w:rFonts w:hint="eastAsia" w:ascii="宋体" w:hAnsi="宋体" w:eastAsia="宋体" w:cs="宋体"/>
                <w:sz w:val="18"/>
                <w:szCs w:val="18"/>
              </w:rPr>
              <w:t>共同目标</w:t>
            </w:r>
          </w:p>
        </w:tc>
        <w:tc>
          <w:tcPr>
            <w:tcW w:w="0" w:type="auto"/>
            <w:tcBorders>
              <w:top w:val="single" w:color="000000" w:sz="6" w:space="0"/>
              <w:left w:val="single" w:color="000000" w:sz="6" w:space="0"/>
              <w:bottom w:val="single" w:color="000000" w:sz="6" w:space="0"/>
              <w:right w:val="single" w:color="000000" w:sz="6" w:space="0"/>
            </w:tcBorders>
            <w:tcMar>
              <w:top w:w="150" w:type="dxa"/>
              <w:left w:w="150" w:type="dxa"/>
              <w:bottom w:w="150" w:type="dxa"/>
              <w:right w:w="150" w:type="dxa"/>
            </w:tcMar>
            <w:vAlign w:val="center"/>
          </w:tcPr>
          <w:p w14:paraId="4005BF28">
            <w:pPr>
              <w:jc w:val="left"/>
              <w:rPr>
                <w:rFonts w:hint="eastAsia" w:ascii="宋体" w:hAnsi="宋体" w:eastAsia="宋体" w:cs="宋体"/>
                <w:sz w:val="18"/>
                <w:szCs w:val="18"/>
              </w:rPr>
            </w:pPr>
            <w:r>
              <w:rPr>
                <w:rFonts w:hint="eastAsia" w:ascii="宋体" w:hAnsi="宋体" w:eastAsia="宋体" w:cs="宋体"/>
                <w:sz w:val="18"/>
                <w:szCs w:val="18"/>
              </w:rPr>
              <w:t>合作中各方认同的共同愿望和目标</w:t>
            </w:r>
          </w:p>
        </w:tc>
      </w:tr>
      <w:tr w14:paraId="098402FE">
        <w:tblPrEx>
          <w:tblCellMar>
            <w:top w:w="0" w:type="dxa"/>
            <w:left w:w="0" w:type="dxa"/>
            <w:bottom w:w="0" w:type="dxa"/>
            <w:right w:w="0" w:type="dxa"/>
          </w:tblCellMar>
        </w:tblPrEx>
        <w:tc>
          <w:tcPr>
            <w:tcW w:w="0" w:type="auto"/>
            <w:vMerge w:val="continue"/>
            <w:tcBorders>
              <w:top w:val="single" w:color="000000" w:sz="6" w:space="0"/>
              <w:left w:val="single" w:color="000000" w:sz="6" w:space="0"/>
              <w:bottom w:val="single" w:color="000000" w:sz="6" w:space="0"/>
              <w:right w:val="single" w:color="000000" w:sz="6" w:space="0"/>
            </w:tcBorders>
            <w:tcMar>
              <w:top w:w="150" w:type="dxa"/>
              <w:left w:w="150" w:type="dxa"/>
              <w:bottom w:w="150" w:type="dxa"/>
              <w:right w:w="150" w:type="dxa"/>
            </w:tcMar>
            <w:vAlign w:val="center"/>
          </w:tcPr>
          <w:p w14:paraId="025E0845">
            <w:pPr>
              <w:jc w:val="left"/>
              <w:rPr>
                <w:rFonts w:hint="eastAsia" w:ascii="宋体" w:hAnsi="宋体" w:eastAsia="宋体" w:cs="宋体"/>
                <w:sz w:val="18"/>
                <w:szCs w:val="18"/>
              </w:rPr>
            </w:pPr>
          </w:p>
        </w:tc>
        <w:tc>
          <w:tcPr>
            <w:tcW w:w="0" w:type="auto"/>
            <w:tcBorders>
              <w:top w:val="single" w:color="000000" w:sz="6" w:space="0"/>
              <w:left w:val="single" w:color="000000" w:sz="6" w:space="0"/>
              <w:bottom w:val="single" w:color="000000" w:sz="6" w:space="0"/>
              <w:right w:val="single" w:color="000000" w:sz="6" w:space="0"/>
            </w:tcBorders>
            <w:tcMar>
              <w:top w:w="150" w:type="dxa"/>
              <w:left w:w="150" w:type="dxa"/>
              <w:bottom w:w="150" w:type="dxa"/>
              <w:right w:w="150" w:type="dxa"/>
            </w:tcMar>
            <w:vAlign w:val="center"/>
          </w:tcPr>
          <w:p w14:paraId="670CD761">
            <w:pPr>
              <w:jc w:val="left"/>
              <w:rPr>
                <w:rFonts w:hint="eastAsia" w:ascii="宋体" w:hAnsi="宋体" w:eastAsia="宋体" w:cs="宋体"/>
                <w:sz w:val="18"/>
                <w:szCs w:val="18"/>
              </w:rPr>
            </w:pPr>
            <w:r>
              <w:rPr>
                <w:rFonts w:hint="eastAsia" w:ascii="宋体" w:hAnsi="宋体" w:eastAsia="宋体" w:cs="宋体"/>
                <w:sz w:val="18"/>
                <w:szCs w:val="18"/>
              </w:rPr>
              <w:t>互信建立</w:t>
            </w:r>
          </w:p>
        </w:tc>
        <w:tc>
          <w:tcPr>
            <w:tcW w:w="0" w:type="auto"/>
            <w:tcBorders>
              <w:top w:val="single" w:color="000000" w:sz="6" w:space="0"/>
              <w:left w:val="single" w:color="000000" w:sz="6" w:space="0"/>
              <w:bottom w:val="single" w:color="000000" w:sz="6" w:space="0"/>
              <w:right w:val="single" w:color="000000" w:sz="6" w:space="0"/>
            </w:tcBorders>
            <w:tcMar>
              <w:top w:w="150" w:type="dxa"/>
              <w:left w:w="150" w:type="dxa"/>
              <w:bottom w:w="150" w:type="dxa"/>
              <w:right w:w="150" w:type="dxa"/>
            </w:tcMar>
            <w:vAlign w:val="center"/>
          </w:tcPr>
          <w:p w14:paraId="56223215">
            <w:pPr>
              <w:jc w:val="left"/>
              <w:rPr>
                <w:rFonts w:hint="eastAsia" w:ascii="宋体" w:hAnsi="宋体" w:eastAsia="宋体" w:cs="宋体"/>
                <w:sz w:val="18"/>
                <w:szCs w:val="18"/>
              </w:rPr>
            </w:pPr>
            <w:r>
              <w:rPr>
                <w:rFonts w:hint="eastAsia" w:ascii="宋体" w:hAnsi="宋体" w:eastAsia="宋体" w:cs="宋体"/>
                <w:sz w:val="18"/>
                <w:szCs w:val="18"/>
              </w:rPr>
              <w:t>合作中建立的信任与理解</w:t>
            </w:r>
          </w:p>
        </w:tc>
      </w:tr>
      <w:tr w14:paraId="622B1FF5">
        <w:tblPrEx>
          <w:tblCellMar>
            <w:top w:w="0" w:type="dxa"/>
            <w:left w:w="0" w:type="dxa"/>
            <w:bottom w:w="0" w:type="dxa"/>
            <w:right w:w="0" w:type="dxa"/>
          </w:tblCellMar>
        </w:tblPrEx>
        <w:tc>
          <w:tcPr>
            <w:tcW w:w="0" w:type="auto"/>
            <w:vMerge w:val="continue"/>
            <w:tcBorders>
              <w:top w:val="single" w:color="000000" w:sz="6" w:space="0"/>
              <w:left w:val="single" w:color="000000" w:sz="6" w:space="0"/>
              <w:bottom w:val="single" w:color="000000" w:sz="6" w:space="0"/>
              <w:right w:val="single" w:color="000000" w:sz="6" w:space="0"/>
            </w:tcBorders>
            <w:tcMar>
              <w:top w:w="150" w:type="dxa"/>
              <w:left w:w="150" w:type="dxa"/>
              <w:bottom w:w="150" w:type="dxa"/>
              <w:right w:w="150" w:type="dxa"/>
            </w:tcMar>
            <w:vAlign w:val="center"/>
          </w:tcPr>
          <w:p w14:paraId="1378E8C1">
            <w:pPr>
              <w:jc w:val="left"/>
              <w:rPr>
                <w:rFonts w:hint="eastAsia" w:ascii="宋体" w:hAnsi="宋体" w:eastAsia="宋体" w:cs="宋体"/>
                <w:sz w:val="18"/>
                <w:szCs w:val="18"/>
              </w:rPr>
            </w:pPr>
          </w:p>
        </w:tc>
        <w:tc>
          <w:tcPr>
            <w:tcW w:w="0" w:type="auto"/>
            <w:tcBorders>
              <w:top w:val="single" w:color="000000" w:sz="6" w:space="0"/>
              <w:left w:val="single" w:color="000000" w:sz="6" w:space="0"/>
              <w:bottom w:val="single" w:color="000000" w:sz="6" w:space="0"/>
              <w:right w:val="single" w:color="000000" w:sz="6" w:space="0"/>
            </w:tcBorders>
            <w:tcMar>
              <w:top w:w="150" w:type="dxa"/>
              <w:left w:w="150" w:type="dxa"/>
              <w:bottom w:w="150" w:type="dxa"/>
              <w:right w:w="150" w:type="dxa"/>
            </w:tcMar>
            <w:vAlign w:val="center"/>
          </w:tcPr>
          <w:p w14:paraId="1D3E4297">
            <w:pPr>
              <w:jc w:val="left"/>
              <w:rPr>
                <w:rFonts w:hint="eastAsia" w:ascii="宋体" w:hAnsi="宋体" w:eastAsia="宋体" w:cs="宋体"/>
                <w:sz w:val="18"/>
                <w:szCs w:val="18"/>
              </w:rPr>
            </w:pPr>
            <w:r>
              <w:rPr>
                <w:rFonts w:hint="eastAsia" w:ascii="宋体" w:hAnsi="宋体" w:eastAsia="宋体" w:cs="宋体"/>
                <w:sz w:val="18"/>
                <w:szCs w:val="18"/>
              </w:rPr>
              <w:t>利益协调</w:t>
            </w:r>
          </w:p>
        </w:tc>
        <w:tc>
          <w:tcPr>
            <w:tcW w:w="0" w:type="auto"/>
            <w:tcBorders>
              <w:top w:val="single" w:color="000000" w:sz="6" w:space="0"/>
              <w:left w:val="single" w:color="000000" w:sz="6" w:space="0"/>
              <w:bottom w:val="single" w:color="000000" w:sz="6" w:space="0"/>
              <w:right w:val="single" w:color="000000" w:sz="6" w:space="0"/>
            </w:tcBorders>
            <w:tcMar>
              <w:top w:w="150" w:type="dxa"/>
              <w:left w:w="150" w:type="dxa"/>
              <w:bottom w:w="150" w:type="dxa"/>
              <w:right w:w="150" w:type="dxa"/>
            </w:tcMar>
            <w:vAlign w:val="center"/>
          </w:tcPr>
          <w:p w14:paraId="569A5D75">
            <w:pPr>
              <w:jc w:val="left"/>
              <w:rPr>
                <w:rFonts w:hint="eastAsia" w:ascii="宋体" w:hAnsi="宋体" w:eastAsia="宋体" w:cs="宋体"/>
                <w:sz w:val="18"/>
                <w:szCs w:val="18"/>
              </w:rPr>
            </w:pPr>
            <w:r>
              <w:rPr>
                <w:rFonts w:hint="eastAsia" w:ascii="宋体" w:hAnsi="宋体" w:eastAsia="宋体" w:cs="宋体"/>
                <w:sz w:val="18"/>
                <w:szCs w:val="18"/>
              </w:rPr>
              <w:t>协调各方利益，确保相对平衡</w:t>
            </w:r>
          </w:p>
        </w:tc>
      </w:tr>
      <w:tr w14:paraId="271C5CC6">
        <w:tblPrEx>
          <w:tblCellMar>
            <w:top w:w="0" w:type="dxa"/>
            <w:left w:w="0" w:type="dxa"/>
            <w:bottom w:w="0" w:type="dxa"/>
            <w:right w:w="0" w:type="dxa"/>
          </w:tblCellMar>
        </w:tblPrEx>
        <w:tc>
          <w:tcPr>
            <w:tcW w:w="0" w:type="auto"/>
            <w:vMerge w:val="continue"/>
            <w:tcBorders>
              <w:top w:val="single" w:color="000000" w:sz="6" w:space="0"/>
              <w:left w:val="single" w:color="000000" w:sz="6" w:space="0"/>
              <w:bottom w:val="single" w:color="000000" w:sz="6" w:space="0"/>
              <w:right w:val="single" w:color="000000" w:sz="6" w:space="0"/>
            </w:tcBorders>
            <w:tcMar>
              <w:top w:w="150" w:type="dxa"/>
              <w:left w:w="150" w:type="dxa"/>
              <w:bottom w:w="150" w:type="dxa"/>
              <w:right w:w="150" w:type="dxa"/>
            </w:tcMar>
            <w:vAlign w:val="center"/>
          </w:tcPr>
          <w:p w14:paraId="594049AA">
            <w:pPr>
              <w:jc w:val="left"/>
              <w:rPr>
                <w:rFonts w:hint="eastAsia" w:ascii="宋体" w:hAnsi="宋体" w:eastAsia="宋体" w:cs="宋体"/>
                <w:sz w:val="18"/>
                <w:szCs w:val="18"/>
              </w:rPr>
            </w:pPr>
          </w:p>
        </w:tc>
        <w:tc>
          <w:tcPr>
            <w:tcW w:w="0" w:type="auto"/>
            <w:tcBorders>
              <w:top w:val="single" w:color="000000" w:sz="6" w:space="0"/>
              <w:left w:val="single" w:color="000000" w:sz="6" w:space="0"/>
              <w:bottom w:val="single" w:color="000000" w:sz="6" w:space="0"/>
              <w:right w:val="single" w:color="000000" w:sz="6" w:space="0"/>
            </w:tcBorders>
            <w:tcMar>
              <w:top w:w="150" w:type="dxa"/>
              <w:left w:w="150" w:type="dxa"/>
              <w:bottom w:w="150" w:type="dxa"/>
              <w:right w:w="150" w:type="dxa"/>
            </w:tcMar>
            <w:vAlign w:val="center"/>
          </w:tcPr>
          <w:p w14:paraId="637FD355">
            <w:pPr>
              <w:jc w:val="left"/>
              <w:rPr>
                <w:rFonts w:hint="eastAsia" w:ascii="宋体" w:hAnsi="宋体" w:eastAsia="宋体" w:cs="宋体"/>
                <w:sz w:val="18"/>
                <w:szCs w:val="18"/>
              </w:rPr>
            </w:pPr>
            <w:r>
              <w:rPr>
                <w:rFonts w:hint="eastAsia" w:ascii="宋体" w:hAnsi="宋体" w:eastAsia="宋体" w:cs="宋体"/>
                <w:sz w:val="18"/>
                <w:szCs w:val="18"/>
              </w:rPr>
              <w:t>问题认知</w:t>
            </w:r>
          </w:p>
        </w:tc>
        <w:tc>
          <w:tcPr>
            <w:tcW w:w="0" w:type="auto"/>
            <w:tcBorders>
              <w:top w:val="single" w:color="000000" w:sz="6" w:space="0"/>
              <w:left w:val="single" w:color="000000" w:sz="6" w:space="0"/>
              <w:bottom w:val="single" w:color="000000" w:sz="6" w:space="0"/>
              <w:right w:val="single" w:color="000000" w:sz="6" w:space="0"/>
            </w:tcBorders>
            <w:tcMar>
              <w:top w:w="150" w:type="dxa"/>
              <w:left w:w="150" w:type="dxa"/>
              <w:bottom w:w="150" w:type="dxa"/>
              <w:right w:w="150" w:type="dxa"/>
            </w:tcMar>
            <w:vAlign w:val="center"/>
          </w:tcPr>
          <w:p w14:paraId="6B8EE447">
            <w:pPr>
              <w:jc w:val="left"/>
              <w:rPr>
                <w:rFonts w:hint="eastAsia" w:ascii="宋体" w:hAnsi="宋体" w:eastAsia="宋体" w:cs="宋体"/>
                <w:sz w:val="18"/>
                <w:szCs w:val="18"/>
              </w:rPr>
            </w:pPr>
            <w:r>
              <w:rPr>
                <w:rFonts w:hint="eastAsia" w:ascii="宋体" w:hAnsi="宋体" w:eastAsia="宋体" w:cs="宋体"/>
                <w:sz w:val="18"/>
                <w:szCs w:val="18"/>
              </w:rPr>
              <w:t>对合作中存在问题的共同识别与理解</w:t>
            </w:r>
          </w:p>
        </w:tc>
      </w:tr>
      <w:tr w14:paraId="1F71C0C4">
        <w:tblPrEx>
          <w:tblCellMar>
            <w:top w:w="0" w:type="dxa"/>
            <w:left w:w="0" w:type="dxa"/>
            <w:bottom w:w="0" w:type="dxa"/>
            <w:right w:w="0" w:type="dxa"/>
          </w:tblCellMar>
        </w:tblPrEx>
        <w:tc>
          <w:tcPr>
            <w:tcW w:w="0" w:type="auto"/>
            <w:vMerge w:val="restart"/>
            <w:tcBorders>
              <w:top w:val="single" w:color="000000" w:sz="6" w:space="0"/>
              <w:left w:val="single" w:color="000000" w:sz="6" w:space="0"/>
              <w:bottom w:val="single" w:color="000000" w:sz="6" w:space="0"/>
              <w:right w:val="single" w:color="000000" w:sz="6" w:space="0"/>
            </w:tcBorders>
            <w:tcMar>
              <w:top w:w="150" w:type="dxa"/>
              <w:left w:w="150" w:type="dxa"/>
              <w:bottom w:w="150" w:type="dxa"/>
              <w:right w:w="150" w:type="dxa"/>
            </w:tcMar>
            <w:vAlign w:val="center"/>
          </w:tcPr>
          <w:p w14:paraId="0D273337">
            <w:pPr>
              <w:jc w:val="left"/>
              <w:rPr>
                <w:rFonts w:hint="eastAsia" w:ascii="宋体" w:hAnsi="宋体" w:eastAsia="宋体" w:cs="宋体"/>
                <w:sz w:val="18"/>
                <w:szCs w:val="18"/>
              </w:rPr>
            </w:pPr>
            <w:r>
              <w:rPr>
                <w:rFonts w:hint="eastAsia" w:ascii="宋体" w:hAnsi="宋体" w:eastAsia="宋体" w:cs="宋体"/>
                <w:sz w:val="18"/>
                <w:szCs w:val="18"/>
              </w:rPr>
              <w:t>协同能力</w:t>
            </w:r>
          </w:p>
        </w:tc>
        <w:tc>
          <w:tcPr>
            <w:tcW w:w="0" w:type="auto"/>
            <w:tcBorders>
              <w:top w:val="single" w:color="000000" w:sz="6" w:space="0"/>
              <w:left w:val="single" w:color="000000" w:sz="6" w:space="0"/>
              <w:bottom w:val="single" w:color="000000" w:sz="6" w:space="0"/>
              <w:right w:val="single" w:color="000000" w:sz="6" w:space="0"/>
            </w:tcBorders>
            <w:tcMar>
              <w:top w:w="150" w:type="dxa"/>
              <w:left w:w="150" w:type="dxa"/>
              <w:bottom w:w="150" w:type="dxa"/>
              <w:right w:w="150" w:type="dxa"/>
            </w:tcMar>
            <w:vAlign w:val="center"/>
          </w:tcPr>
          <w:p w14:paraId="60706F93">
            <w:pPr>
              <w:jc w:val="left"/>
              <w:rPr>
                <w:rFonts w:hint="eastAsia" w:ascii="宋体" w:hAnsi="宋体" w:eastAsia="宋体" w:cs="宋体"/>
                <w:sz w:val="18"/>
                <w:szCs w:val="18"/>
              </w:rPr>
            </w:pPr>
            <w:r>
              <w:rPr>
                <w:rFonts w:hint="eastAsia" w:ascii="宋体" w:hAnsi="宋体" w:eastAsia="宋体" w:cs="宋体"/>
                <w:sz w:val="18"/>
                <w:szCs w:val="18"/>
              </w:rPr>
              <w:t>技术能力</w:t>
            </w:r>
          </w:p>
        </w:tc>
        <w:tc>
          <w:tcPr>
            <w:tcW w:w="0" w:type="auto"/>
            <w:tcBorders>
              <w:top w:val="single" w:color="000000" w:sz="6" w:space="0"/>
              <w:left w:val="single" w:color="000000" w:sz="6" w:space="0"/>
              <w:bottom w:val="single" w:color="000000" w:sz="6" w:space="0"/>
              <w:right w:val="single" w:color="000000" w:sz="6" w:space="0"/>
            </w:tcBorders>
            <w:tcMar>
              <w:top w:w="150" w:type="dxa"/>
              <w:left w:w="150" w:type="dxa"/>
              <w:bottom w:w="150" w:type="dxa"/>
              <w:right w:w="150" w:type="dxa"/>
            </w:tcMar>
            <w:vAlign w:val="center"/>
          </w:tcPr>
          <w:p w14:paraId="04D4C4DA">
            <w:pPr>
              <w:jc w:val="left"/>
              <w:rPr>
                <w:rFonts w:hint="eastAsia" w:ascii="宋体" w:hAnsi="宋体" w:eastAsia="宋体" w:cs="宋体"/>
                <w:sz w:val="18"/>
                <w:szCs w:val="18"/>
              </w:rPr>
            </w:pPr>
            <w:r>
              <w:rPr>
                <w:rFonts w:hint="eastAsia" w:ascii="宋体" w:hAnsi="宋体" w:eastAsia="宋体" w:cs="宋体"/>
                <w:sz w:val="18"/>
                <w:szCs w:val="18"/>
              </w:rPr>
              <w:t>进行资历框架建设所需的专业技术</w:t>
            </w:r>
          </w:p>
        </w:tc>
      </w:tr>
      <w:tr w14:paraId="1D89DEC0">
        <w:tblPrEx>
          <w:tblCellMar>
            <w:top w:w="0" w:type="dxa"/>
            <w:left w:w="0" w:type="dxa"/>
            <w:bottom w:w="0" w:type="dxa"/>
            <w:right w:w="0" w:type="dxa"/>
          </w:tblCellMar>
        </w:tblPrEx>
        <w:tc>
          <w:tcPr>
            <w:tcW w:w="0" w:type="auto"/>
            <w:vMerge w:val="continue"/>
            <w:tcBorders>
              <w:top w:val="single" w:color="000000" w:sz="6" w:space="0"/>
              <w:left w:val="single" w:color="000000" w:sz="6" w:space="0"/>
              <w:bottom w:val="single" w:color="000000" w:sz="6" w:space="0"/>
              <w:right w:val="single" w:color="000000" w:sz="6" w:space="0"/>
            </w:tcBorders>
            <w:tcMar>
              <w:top w:w="150" w:type="dxa"/>
              <w:left w:w="150" w:type="dxa"/>
              <w:bottom w:w="150" w:type="dxa"/>
              <w:right w:w="150" w:type="dxa"/>
            </w:tcMar>
            <w:vAlign w:val="center"/>
          </w:tcPr>
          <w:p w14:paraId="2D59B24F">
            <w:pPr>
              <w:jc w:val="left"/>
              <w:rPr>
                <w:rFonts w:hint="eastAsia" w:ascii="宋体" w:hAnsi="宋体" w:eastAsia="宋体" w:cs="宋体"/>
                <w:sz w:val="18"/>
                <w:szCs w:val="18"/>
              </w:rPr>
            </w:pPr>
          </w:p>
        </w:tc>
        <w:tc>
          <w:tcPr>
            <w:tcW w:w="0" w:type="auto"/>
            <w:tcBorders>
              <w:top w:val="single" w:color="000000" w:sz="6" w:space="0"/>
              <w:left w:val="single" w:color="000000" w:sz="6" w:space="0"/>
              <w:bottom w:val="single" w:color="000000" w:sz="6" w:space="0"/>
              <w:right w:val="single" w:color="000000" w:sz="6" w:space="0"/>
            </w:tcBorders>
            <w:tcMar>
              <w:top w:w="150" w:type="dxa"/>
              <w:left w:w="150" w:type="dxa"/>
              <w:bottom w:w="150" w:type="dxa"/>
              <w:right w:w="150" w:type="dxa"/>
            </w:tcMar>
            <w:vAlign w:val="center"/>
          </w:tcPr>
          <w:p w14:paraId="37BE1063">
            <w:pPr>
              <w:jc w:val="left"/>
              <w:rPr>
                <w:rFonts w:hint="eastAsia" w:ascii="宋体" w:hAnsi="宋体" w:eastAsia="宋体" w:cs="宋体"/>
                <w:sz w:val="18"/>
                <w:szCs w:val="18"/>
              </w:rPr>
            </w:pPr>
            <w:r>
              <w:rPr>
                <w:rFonts w:hint="eastAsia" w:ascii="宋体" w:hAnsi="宋体" w:eastAsia="宋体" w:cs="宋体"/>
                <w:sz w:val="18"/>
                <w:szCs w:val="18"/>
              </w:rPr>
              <w:t>组织协调</w:t>
            </w:r>
          </w:p>
        </w:tc>
        <w:tc>
          <w:tcPr>
            <w:tcW w:w="0" w:type="auto"/>
            <w:tcBorders>
              <w:top w:val="single" w:color="000000" w:sz="6" w:space="0"/>
              <w:left w:val="single" w:color="000000" w:sz="6" w:space="0"/>
              <w:bottom w:val="single" w:color="000000" w:sz="6" w:space="0"/>
              <w:right w:val="single" w:color="000000" w:sz="6" w:space="0"/>
            </w:tcBorders>
            <w:tcMar>
              <w:top w:w="150" w:type="dxa"/>
              <w:left w:w="150" w:type="dxa"/>
              <w:bottom w:w="150" w:type="dxa"/>
              <w:right w:w="150" w:type="dxa"/>
            </w:tcMar>
            <w:vAlign w:val="center"/>
          </w:tcPr>
          <w:p w14:paraId="2F10ACF1">
            <w:pPr>
              <w:jc w:val="left"/>
              <w:rPr>
                <w:rFonts w:hint="eastAsia" w:ascii="宋体" w:hAnsi="宋体" w:eastAsia="宋体" w:cs="宋体"/>
                <w:sz w:val="18"/>
                <w:szCs w:val="18"/>
              </w:rPr>
            </w:pPr>
            <w:r>
              <w:rPr>
                <w:rFonts w:hint="eastAsia" w:ascii="宋体" w:hAnsi="宋体" w:eastAsia="宋体" w:cs="宋体"/>
                <w:sz w:val="18"/>
                <w:szCs w:val="18"/>
              </w:rPr>
              <w:t>跨机构和地区组织合作的能力</w:t>
            </w:r>
          </w:p>
        </w:tc>
      </w:tr>
      <w:tr w14:paraId="39651B29">
        <w:tblPrEx>
          <w:tblCellMar>
            <w:top w:w="0" w:type="dxa"/>
            <w:left w:w="0" w:type="dxa"/>
            <w:bottom w:w="0" w:type="dxa"/>
            <w:right w:w="0" w:type="dxa"/>
          </w:tblCellMar>
        </w:tblPrEx>
        <w:tc>
          <w:tcPr>
            <w:tcW w:w="0" w:type="auto"/>
            <w:vMerge w:val="continue"/>
            <w:tcBorders>
              <w:top w:val="single" w:color="000000" w:sz="6" w:space="0"/>
              <w:left w:val="single" w:color="000000" w:sz="6" w:space="0"/>
              <w:bottom w:val="single" w:color="000000" w:sz="6" w:space="0"/>
              <w:right w:val="single" w:color="000000" w:sz="6" w:space="0"/>
            </w:tcBorders>
            <w:tcMar>
              <w:top w:w="150" w:type="dxa"/>
              <w:left w:w="150" w:type="dxa"/>
              <w:bottom w:w="150" w:type="dxa"/>
              <w:right w:w="150" w:type="dxa"/>
            </w:tcMar>
            <w:vAlign w:val="center"/>
          </w:tcPr>
          <w:p w14:paraId="2A26BC31">
            <w:pPr>
              <w:jc w:val="left"/>
              <w:rPr>
                <w:rFonts w:hint="eastAsia" w:ascii="宋体" w:hAnsi="宋体" w:eastAsia="宋体" w:cs="宋体"/>
                <w:sz w:val="18"/>
                <w:szCs w:val="18"/>
              </w:rPr>
            </w:pPr>
          </w:p>
        </w:tc>
        <w:tc>
          <w:tcPr>
            <w:tcW w:w="0" w:type="auto"/>
            <w:tcBorders>
              <w:top w:val="single" w:color="000000" w:sz="6" w:space="0"/>
              <w:left w:val="single" w:color="000000" w:sz="6" w:space="0"/>
              <w:bottom w:val="single" w:color="000000" w:sz="6" w:space="0"/>
              <w:right w:val="single" w:color="000000" w:sz="6" w:space="0"/>
            </w:tcBorders>
            <w:tcMar>
              <w:top w:w="150" w:type="dxa"/>
              <w:left w:w="150" w:type="dxa"/>
              <w:bottom w:w="150" w:type="dxa"/>
              <w:right w:w="150" w:type="dxa"/>
            </w:tcMar>
            <w:vAlign w:val="center"/>
          </w:tcPr>
          <w:p w14:paraId="3F4C01C1">
            <w:pPr>
              <w:jc w:val="left"/>
              <w:rPr>
                <w:rFonts w:hint="eastAsia" w:ascii="宋体" w:hAnsi="宋体" w:eastAsia="宋体" w:cs="宋体"/>
                <w:sz w:val="18"/>
                <w:szCs w:val="18"/>
              </w:rPr>
            </w:pPr>
            <w:r>
              <w:rPr>
                <w:rFonts w:hint="eastAsia" w:ascii="宋体" w:hAnsi="宋体" w:eastAsia="宋体" w:cs="宋体"/>
                <w:sz w:val="18"/>
                <w:szCs w:val="18"/>
              </w:rPr>
              <w:t>资源整合</w:t>
            </w:r>
          </w:p>
        </w:tc>
        <w:tc>
          <w:tcPr>
            <w:tcW w:w="0" w:type="auto"/>
            <w:tcBorders>
              <w:top w:val="single" w:color="000000" w:sz="6" w:space="0"/>
              <w:left w:val="single" w:color="000000" w:sz="6" w:space="0"/>
              <w:bottom w:val="single" w:color="000000" w:sz="6" w:space="0"/>
              <w:right w:val="single" w:color="000000" w:sz="6" w:space="0"/>
            </w:tcBorders>
            <w:tcMar>
              <w:top w:w="150" w:type="dxa"/>
              <w:left w:w="150" w:type="dxa"/>
              <w:bottom w:w="150" w:type="dxa"/>
              <w:right w:w="150" w:type="dxa"/>
            </w:tcMar>
            <w:vAlign w:val="center"/>
          </w:tcPr>
          <w:p w14:paraId="74F3E0BE">
            <w:pPr>
              <w:jc w:val="left"/>
              <w:rPr>
                <w:rFonts w:hint="eastAsia" w:ascii="宋体" w:hAnsi="宋体" w:eastAsia="宋体" w:cs="宋体"/>
                <w:sz w:val="18"/>
                <w:szCs w:val="18"/>
              </w:rPr>
            </w:pPr>
            <w:r>
              <w:rPr>
                <w:rFonts w:hint="eastAsia" w:ascii="宋体" w:hAnsi="宋体" w:eastAsia="宋体" w:cs="宋体"/>
                <w:sz w:val="18"/>
                <w:szCs w:val="18"/>
              </w:rPr>
              <w:t>整合和利用资源以支持合作</w:t>
            </w:r>
          </w:p>
        </w:tc>
      </w:tr>
      <w:tr w14:paraId="7C7ACAA6">
        <w:tblPrEx>
          <w:tblCellMar>
            <w:top w:w="0" w:type="dxa"/>
            <w:left w:w="0" w:type="dxa"/>
            <w:bottom w:w="0" w:type="dxa"/>
            <w:right w:w="0" w:type="dxa"/>
          </w:tblCellMar>
        </w:tblPrEx>
        <w:tc>
          <w:tcPr>
            <w:tcW w:w="0" w:type="auto"/>
            <w:vMerge w:val="continue"/>
            <w:tcBorders>
              <w:top w:val="single" w:color="000000" w:sz="6" w:space="0"/>
              <w:left w:val="single" w:color="000000" w:sz="6" w:space="0"/>
              <w:bottom w:val="single" w:color="000000" w:sz="6" w:space="0"/>
              <w:right w:val="single" w:color="000000" w:sz="6" w:space="0"/>
            </w:tcBorders>
            <w:tcMar>
              <w:top w:w="150" w:type="dxa"/>
              <w:left w:w="150" w:type="dxa"/>
              <w:bottom w:w="150" w:type="dxa"/>
              <w:right w:w="150" w:type="dxa"/>
            </w:tcMar>
            <w:vAlign w:val="center"/>
          </w:tcPr>
          <w:p w14:paraId="0F07C7BC">
            <w:pPr>
              <w:jc w:val="left"/>
              <w:rPr>
                <w:rFonts w:hint="eastAsia" w:ascii="宋体" w:hAnsi="宋体" w:eastAsia="宋体" w:cs="宋体"/>
                <w:sz w:val="18"/>
                <w:szCs w:val="18"/>
              </w:rPr>
            </w:pPr>
          </w:p>
        </w:tc>
        <w:tc>
          <w:tcPr>
            <w:tcW w:w="0" w:type="auto"/>
            <w:tcBorders>
              <w:top w:val="single" w:color="000000" w:sz="6" w:space="0"/>
              <w:left w:val="single" w:color="000000" w:sz="6" w:space="0"/>
              <w:bottom w:val="single" w:color="000000" w:sz="6" w:space="0"/>
              <w:right w:val="single" w:color="000000" w:sz="6" w:space="0"/>
            </w:tcBorders>
            <w:tcMar>
              <w:top w:w="150" w:type="dxa"/>
              <w:left w:w="150" w:type="dxa"/>
              <w:bottom w:w="150" w:type="dxa"/>
              <w:right w:w="150" w:type="dxa"/>
            </w:tcMar>
            <w:vAlign w:val="center"/>
          </w:tcPr>
          <w:p w14:paraId="49E5BC33">
            <w:pPr>
              <w:jc w:val="left"/>
              <w:rPr>
                <w:rFonts w:hint="eastAsia" w:ascii="宋体" w:hAnsi="宋体" w:eastAsia="宋体" w:cs="宋体"/>
                <w:sz w:val="18"/>
                <w:szCs w:val="18"/>
              </w:rPr>
            </w:pPr>
            <w:r>
              <w:rPr>
                <w:rFonts w:hint="eastAsia" w:ascii="宋体" w:hAnsi="宋体" w:eastAsia="宋体" w:cs="宋体"/>
                <w:sz w:val="18"/>
                <w:szCs w:val="18"/>
              </w:rPr>
              <w:t>学习适应</w:t>
            </w:r>
          </w:p>
        </w:tc>
        <w:tc>
          <w:tcPr>
            <w:tcW w:w="0" w:type="auto"/>
            <w:tcBorders>
              <w:top w:val="single" w:color="000000" w:sz="6" w:space="0"/>
              <w:left w:val="single" w:color="000000" w:sz="6" w:space="0"/>
              <w:bottom w:val="single" w:color="000000" w:sz="6" w:space="0"/>
              <w:right w:val="single" w:color="000000" w:sz="6" w:space="0"/>
            </w:tcBorders>
            <w:tcMar>
              <w:top w:w="150" w:type="dxa"/>
              <w:left w:w="150" w:type="dxa"/>
              <w:bottom w:w="150" w:type="dxa"/>
              <w:right w:w="150" w:type="dxa"/>
            </w:tcMar>
            <w:vAlign w:val="center"/>
          </w:tcPr>
          <w:p w14:paraId="4B246A1A">
            <w:pPr>
              <w:jc w:val="left"/>
              <w:rPr>
                <w:rFonts w:hint="eastAsia" w:ascii="宋体" w:hAnsi="宋体" w:eastAsia="宋体" w:cs="宋体"/>
                <w:sz w:val="18"/>
                <w:szCs w:val="18"/>
              </w:rPr>
            </w:pPr>
            <w:r>
              <w:rPr>
                <w:rFonts w:hint="eastAsia" w:ascii="宋体" w:hAnsi="宋体" w:eastAsia="宋体" w:cs="宋体"/>
                <w:sz w:val="18"/>
                <w:szCs w:val="18"/>
              </w:rPr>
              <w:t>在合作过程中通过学习适应新环境的能力</w:t>
            </w:r>
          </w:p>
        </w:tc>
      </w:tr>
    </w:tbl>
    <w:p w14:paraId="7A361C4F">
      <w:pPr>
        <w:rPr>
          <w:rFonts w:hint="eastAsia"/>
          <w:lang w:eastAsia="zh-CN"/>
        </w:rPr>
      </w:pPr>
      <w:r>
        <w:rPr>
          <w:rFonts w:hint="eastAsia"/>
          <w:lang w:eastAsia="zh-CN"/>
        </w:rPr>
        <w:t>、</w:t>
      </w:r>
    </w:p>
    <w:p w14:paraId="26F23E50">
      <w:pPr>
        <w:rPr>
          <w:rFonts w:hint="eastAsia"/>
          <w:lang w:eastAsia="zh-CN"/>
        </w:rPr>
      </w:pPr>
    </w:p>
    <w:p w14:paraId="36B951EB">
      <w:pPr>
        <w:numPr>
          <w:ilvl w:val="0"/>
          <w:numId w:val="2"/>
        </w:numPr>
        <w:rPr>
          <w:rFonts w:hint="eastAsia"/>
          <w:lang w:val="en-US" w:eastAsia="zh-CN"/>
        </w:rPr>
      </w:pPr>
      <w:r>
        <w:rPr>
          <w:rFonts w:hint="eastAsia"/>
          <w:lang w:val="en-US" w:eastAsia="zh-CN"/>
        </w:rPr>
        <w:t>分析结果</w:t>
      </w:r>
    </w:p>
    <w:p w14:paraId="3A07F594">
      <w:pPr>
        <w:numPr>
          <w:ilvl w:val="0"/>
          <w:numId w:val="3"/>
        </w:numPr>
        <w:rPr>
          <w:rFonts w:hint="eastAsia"/>
          <w:lang w:val="en-US" w:eastAsia="zh-CN"/>
        </w:rPr>
      </w:pPr>
      <w:r>
        <w:rPr>
          <w:rFonts w:hint="eastAsia"/>
          <w:lang w:val="en-US" w:eastAsia="zh-CN"/>
        </w:rPr>
        <w:t>三个阶段的变化</w:t>
      </w:r>
    </w:p>
    <w:p w14:paraId="335C9E80">
      <w:pPr>
        <w:numPr>
          <w:ilvl w:val="0"/>
          <w:numId w:val="3"/>
        </w:numPr>
        <w:rPr>
          <w:rFonts w:hint="default"/>
          <w:lang w:val="en-US" w:eastAsia="zh-CN"/>
        </w:rPr>
      </w:pPr>
      <w:r>
        <w:rPr>
          <w:rFonts w:hint="eastAsia"/>
          <w:lang w:val="en-US" w:eastAsia="zh-CN"/>
        </w:rPr>
        <w:t>粤港的对比</w:t>
      </w:r>
    </w:p>
    <w:p w14:paraId="28D47AEB">
      <w:pPr>
        <w:numPr>
          <w:numId w:val="0"/>
        </w:numPr>
        <w:rPr>
          <w:rFonts w:hint="default"/>
          <w:lang w:val="en-US" w:eastAsia="zh-CN"/>
        </w:rPr>
      </w:pPr>
    </w:p>
    <w:p w14:paraId="2D1A4680">
      <w:pPr>
        <w:rPr>
          <w:rFonts w:hint="eastAsia"/>
          <w:lang w:val="en-US" w:eastAsia="zh-CN"/>
        </w:rPr>
      </w:pPr>
      <w:r>
        <w:rPr>
          <w:rFonts w:hint="eastAsia"/>
          <w:lang w:val="en-US" w:eastAsia="zh-CN"/>
        </w:rPr>
        <w:t>六、研究讨论</w:t>
      </w:r>
    </w:p>
    <w:p w14:paraId="22D8A1AC">
      <w:pPr>
        <w:rPr>
          <w:rFonts w:hint="eastAsia"/>
          <w:lang w:val="en-US" w:eastAsia="zh-CN"/>
        </w:rPr>
      </w:pPr>
      <w:r>
        <w:rPr>
          <w:rFonts w:hint="eastAsia"/>
          <w:lang w:val="en-US" w:eastAsia="zh-CN"/>
        </w:rPr>
        <w:t>1.双向学习</w:t>
      </w:r>
    </w:p>
    <w:p w14:paraId="6F414DF5">
      <w:pPr>
        <w:rPr>
          <w:rFonts w:hint="default"/>
          <w:lang w:val="en-US" w:eastAsia="zh-CN"/>
        </w:rPr>
      </w:pPr>
      <w:r>
        <w:rPr>
          <w:rFonts w:hint="eastAsia"/>
          <w:lang w:val="en-US" w:eastAsia="zh-CN"/>
        </w:rPr>
        <w:t>在这个过程都发生了变化</w:t>
      </w:r>
    </w:p>
    <w:p w14:paraId="495FC7D3">
      <w:pPr>
        <w:numPr>
          <w:ilvl w:val="0"/>
          <w:numId w:val="4"/>
        </w:numPr>
        <w:rPr>
          <w:rFonts w:hint="eastAsia"/>
          <w:lang w:val="en-US" w:eastAsia="zh-CN"/>
        </w:rPr>
      </w:pPr>
      <w:r>
        <w:rPr>
          <w:rFonts w:hint="eastAsia"/>
          <w:lang w:val="en-US" w:eastAsia="zh-CN"/>
        </w:rPr>
        <w:t>经历了过程性变化</w:t>
      </w:r>
    </w:p>
    <w:p w14:paraId="79555880">
      <w:pPr>
        <w:numPr>
          <w:numId w:val="0"/>
        </w:numPr>
        <w:rPr>
          <w:rFonts w:hint="default"/>
          <w:lang w:val="en-US" w:eastAsia="zh-CN"/>
        </w:rPr>
      </w:pPr>
      <w:r>
        <w:rPr>
          <w:rFonts w:hint="eastAsia"/>
          <w:lang w:val="en-US" w:eastAsia="zh-CN"/>
        </w:rPr>
        <w:t>早起</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047A68E"/>
    <w:multiLevelType w:val="singleLevel"/>
    <w:tmpl w:val="F047A68E"/>
    <w:lvl w:ilvl="0" w:tentative="0">
      <w:start w:val="2"/>
      <w:numFmt w:val="chineseCounting"/>
      <w:suff w:val="nothing"/>
      <w:lvlText w:val="%1、"/>
      <w:lvlJc w:val="left"/>
      <w:rPr>
        <w:rFonts w:hint="eastAsia"/>
      </w:rPr>
    </w:lvl>
  </w:abstractNum>
  <w:abstractNum w:abstractNumId="1">
    <w:nsid w:val="F85BA15A"/>
    <w:multiLevelType w:val="singleLevel"/>
    <w:tmpl w:val="F85BA15A"/>
    <w:lvl w:ilvl="0" w:tentative="0">
      <w:start w:val="2"/>
      <w:numFmt w:val="decimal"/>
      <w:lvlText w:val="%1."/>
      <w:lvlJc w:val="left"/>
      <w:pPr>
        <w:tabs>
          <w:tab w:val="left" w:pos="312"/>
        </w:tabs>
      </w:pPr>
    </w:lvl>
  </w:abstractNum>
  <w:abstractNum w:abstractNumId="2">
    <w:nsid w:val="3FE2A847"/>
    <w:multiLevelType w:val="singleLevel"/>
    <w:tmpl w:val="3FE2A847"/>
    <w:lvl w:ilvl="0" w:tentative="0">
      <w:start w:val="1"/>
      <w:numFmt w:val="decimal"/>
      <w:lvlText w:val="%1."/>
      <w:lvlJc w:val="left"/>
      <w:pPr>
        <w:tabs>
          <w:tab w:val="left" w:pos="312"/>
        </w:tabs>
      </w:pPr>
    </w:lvl>
  </w:abstractNum>
  <w:abstractNum w:abstractNumId="3">
    <w:nsid w:val="4D0D12A5"/>
    <w:multiLevelType w:val="singleLevel"/>
    <w:tmpl w:val="4D0D12A5"/>
    <w:lvl w:ilvl="0" w:tentative="0">
      <w:start w:val="5"/>
      <w:numFmt w:val="chineseCounting"/>
      <w:suff w:val="nothing"/>
      <w:lvlText w:val="%1、"/>
      <w:lvlJc w:val="left"/>
      <w:rPr>
        <w:rFonts w:hint="eastAsia"/>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816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宋体" w:asciiTheme="minorHAnsi" w:hAnsiTheme="minorHAnsi" w:cstheme="minorBidi"/>
      <w:kern w:val="2"/>
      <w:sz w:val="24"/>
      <w:szCs w:val="21"/>
      <w:lang w:val="en-US" w:eastAsia="zh-CN" w:bidi="ar-SA"/>
    </w:rPr>
  </w:style>
  <w:style w:type="paragraph" w:styleId="2">
    <w:name w:val="heading 1"/>
    <w:basedOn w:val="1"/>
    <w:next w:val="1"/>
    <w:qFormat/>
    <w:uiPriority w:val="9"/>
    <w:pPr>
      <w:keepNext/>
      <w:keepLines/>
      <w:spacing w:before="100" w:beforeAutospacing="1" w:after="50" w:afterLines="50" w:line="380" w:lineRule="exact"/>
      <w:jc w:val="center"/>
      <w:outlineLvl w:val="0"/>
    </w:pPr>
    <w:rPr>
      <w:b/>
      <w:bCs/>
      <w:kern w:val="44"/>
      <w:sz w:val="32"/>
      <w:szCs w:val="44"/>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5">
    <w:name w:val="学报题目"/>
    <w:basedOn w:val="2"/>
    <w:autoRedefine/>
    <w:qFormat/>
    <w:uiPriority w:val="0"/>
    <w:pPr>
      <w:spacing w:after="156"/>
    </w:pPr>
  </w:style>
  <w:style w:type="paragraph" w:customStyle="1" w:styleId="6">
    <w:name w:val="学报摘要"/>
    <w:basedOn w:val="7"/>
    <w:autoRedefine/>
    <w:qFormat/>
    <w:uiPriority w:val="0"/>
    <w:rPr>
      <w:rFonts w:ascii="楷体" w:hAnsi="楷体" w:eastAsia="楷体"/>
      <w:szCs w:val="24"/>
    </w:rPr>
  </w:style>
  <w:style w:type="paragraph" w:customStyle="1" w:styleId="7">
    <w:name w:val="学报正文2"/>
    <w:basedOn w:val="1"/>
    <w:autoRedefine/>
    <w:qFormat/>
    <w:uiPriority w:val="0"/>
    <w:pPr>
      <w:ind w:left="42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18</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斯羽Kelinda</cp:lastModifiedBy>
  <dcterms:modified xsi:type="dcterms:W3CDTF">2025-04-15T02:43:28Z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eyJoZGlkIjoiZWM3N2E5MGZlMWY3M2QyNzk1OWEwYTY3NTIyZDJkMzkiLCJ1c2VySWQiOiIxNTY5NjQ3OTY4In0=</vt:lpwstr>
  </property>
  <property fmtid="{D5CDD505-2E9C-101B-9397-08002B2CF9AE}" pid="4" name="ICV">
    <vt:lpwstr>36F56AEFF35F423F85FD47B8B55548C5_12</vt:lpwstr>
  </property>
</Properties>
</file>