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md1a4d27a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Guide de déploiement Docker sur VPS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ileqlxwzw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Préparation sur la machine locale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lk8hyj190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Docker Compose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Créer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avec 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volumes permanents configurés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IP et ports adaptés au VPS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variables d'environnement nécessaires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o5366yzow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Vérification du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Modifier le code pour configurer les IP/DNS du VPS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Vérifier les autorisations CORS (Cross Origin Resource Sharing) pour l'IP du VPS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3w6ndu7or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Initialisation 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Initialiser Git si nécessaire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Ajouter les fichiers au repo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add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Envoyer les fichiers au repo local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commit -m "my updated code"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Configurer la connexion vers GitHub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remote add origin https://github.com/[votre-username]/[votre-repo].git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Vérifier le lien au repo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Pousser vers GitHub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qegxc7z91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Déploiement sur le VPS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3j8s7puf3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Connexion SSH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ssh user@votre-vps-ip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qkkl57z2p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Déploiement depuis GitHub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Récupérer le code depuis GitHub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Vérifier l'intégrité des données lors de migrations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(commandes spécifiques selon votre application)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av3nuz5pf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Gestion des containers Docker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Commandes essentielles Docker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docker-compose up -d      # Démarrer les containers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docker-compose down       # Arrêter les containers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docker-compose logs -f    # Voir les logs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ps                 # Lister les containers actifs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epzp4wqq3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Points importants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Toujours vérifier la configuration des IP/DNS avant le déploiement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S'assurer que les ports sont correctement exposés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les connexions CORS après déploiement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Faire des sauvegardes avant les migrations importantes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