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Accounting Grade 12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Accounting — Grade 12 Final Study Notes and Guidelines</w:t>
      </w:r>
    </w:p>
    <w:p>
      <w:r>
        <w:rPr>
          <w:sz w:val="21"/>
        </w:rPr>
        <w:t>1. GRADE 12 CURRICULUM FOCUS</w:t>
      </w:r>
    </w:p>
    <w:p>
      <w:r>
        <w:rPr>
          <w:sz w:val="21"/>
        </w:rPr>
        <w:t>Companies and close corporations</w:t>
      </w:r>
    </w:p>
    <w:p>
      <w:r>
        <w:rPr>
          <w:sz w:val="21"/>
        </w:rPr>
        <w:t>• Companies and close corporations: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Financial statements and notes</w:t>
      </w:r>
    </w:p>
    <w:p>
      <w:r>
        <w:rPr>
          <w:sz w:val="21"/>
        </w:rPr>
        <w:t>• Financial statements and notes: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Cash flow statements</w:t>
      </w:r>
    </w:p>
    <w:p>
      <w:r>
        <w:rPr>
          <w:sz w:val="21"/>
        </w:rPr>
        <w:t>• Cash flow statements: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Analysis and interpretation</w:t>
      </w:r>
    </w:p>
    <w:p>
      <w:r>
        <w:rPr>
          <w:sz w:val="21"/>
        </w:rPr>
        <w:t>• Analysis and interpretation: learn the format, the rule and the purpose of the record.</w:t>
      </w:r>
    </w:p>
    <w:p>
      <w:r>
        <w:rPr>
          <w:sz w:val="21"/>
        </w:rPr>
        <w:t>• Show calculations clearly and keep the accounting equation in balance.</w:t>
      </w:r>
    </w:p>
    <w:p>
      <w:r>
        <w:rPr>
          <w:sz w:val="21"/>
        </w:rPr>
        <w:t>• Use correct headings, columns, dates and details.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Financial Accounting &amp; Reporting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