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Life Orientation Grade 11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Life Orientation — Grade 11 Final Study Notes and Guidelines</w:t>
      </w:r>
    </w:p>
    <w:p>
      <w:r>
        <w:rPr>
          <w:sz w:val="21"/>
        </w:rPr>
        <w:t>1. GRADE 11 CURRICULUM FOCUS</w:t>
      </w:r>
    </w:p>
    <w:p>
      <w:r>
        <w:rPr>
          <w:sz w:val="21"/>
        </w:rPr>
        <w:t>Personal development and goals</w:t>
      </w:r>
    </w:p>
    <w:p>
      <w:r>
        <w:rPr>
          <w:sz w:val="21"/>
        </w:rPr>
        <w:t>• Personal development and goals: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Social and environmental responsibility</w:t>
      </w:r>
    </w:p>
    <w:p>
      <w:r>
        <w:rPr>
          <w:sz w:val="21"/>
        </w:rPr>
        <w:t>• Social and environmental responsibility: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Career pathways</w:t>
      </w:r>
    </w:p>
    <w:p>
      <w:r>
        <w:rPr>
          <w:sz w:val="21"/>
        </w:rPr>
        <w:t>• Career pathways: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Human rights and democracy</w:t>
      </w:r>
    </w:p>
    <w:p>
      <w:r>
        <w:rPr>
          <w:sz w:val="21"/>
        </w:rPr>
        <w:t>• Human rights and democracy: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Personal Development, Wellbeing &amp; Careers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