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PAST-PAPER-BASED ACTIVITIES</w:t>
      </w:r>
    </w:p>
    <w:p>
      <w:pPr>
        <w:jc w:val="center"/>
      </w:pPr>
      <w:r>
        <w:rPr>
          <w:b/>
          <w:sz w:val="26"/>
        </w:rPr>
        <w:t>Accounting Grade 12 — DBE 2023 — Home Activities Memorandum</w:t>
      </w:r>
    </w:p>
    <w:p>
      <w:r>
        <w:t>____________________________________________________________________________</w:t>
      </w:r>
    </w:p>
    <w:p>
      <w:r>
        <w:rPr>
          <w:b/>
          <w:sz w:val="21"/>
        </w:rPr>
        <w:t>MEMORANDUM</w:t>
      </w:r>
    </w:p>
    <w:p>
      <w:r>
        <w:rPr>
          <w:b/>
          <w:sz w:val="21"/>
        </w:rPr>
        <w:t>HOME MEMORANDUM</w:t>
      </w:r>
    </w:p>
    <w:p>
      <w:r>
        <w:rPr>
          <w:sz w:val="21"/>
        </w:rPr>
        <w:t>1.1 OE=R125 000. (3)</w:t>
      </w:r>
    </w:p>
    <w:p>
      <w:r>
        <w:rPr>
          <w:sz w:val="21"/>
        </w:rPr>
        <w:t>1.2 Gross profit=R120 000; net profit=R50 000. (5)</w:t>
      </w:r>
    </w:p>
    <w:p>
      <w:r>
        <w:rPr>
          <w:sz w:val="21"/>
        </w:rPr>
        <w:t>1.3 Allocation of the cost of a tangible asset over its useful life. (4)</w:t>
      </w:r>
    </w:p>
    <w:p>
      <w:r>
        <w:rPr>
          <w:sz w:val="21"/>
        </w:rPr>
        <w:t>1.4 Performance evaluation, comparison, liquidity assessment, investment decisions. Any two. (4)</w:t>
      </w:r>
    </w:p>
    <w:p>
      <w:r>
        <w:rPr>
          <w:sz w:val="21"/>
        </w:rPr>
        <w:t>1.5 Promotes trust, accurate reporting, accountability and prevention of fraud. (4)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