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To mobilise workers and build opposition to the Labour Relations Amendment Bill. (2)</w:t>
      </w:r>
    </w:p>
    <w:p>
      <w:r>
        <w:rPr>
          <w:sz w:val="21"/>
        </w:rPr>
        <w:t>1.2 “AN INJURY TO ONE IS AN INJURY TO ALL” or another relevant slogan. (2)</w:t>
      </w:r>
    </w:p>
    <w:p>
      <w:r>
        <w:rPr>
          <w:sz w:val="21"/>
        </w:rPr>
        <w:t>1.3 State-centred economic policy limiting private ownership of major productive resources. (2)</w:t>
      </w:r>
    </w:p>
    <w:p>
      <w:r>
        <w:rPr>
          <w:sz w:val="21"/>
        </w:rPr>
        <w:t>1.4 Restricted worker rights, weakened unions, threatened organisation and undermined labour gains. (4)</w:t>
      </w:r>
    </w:p>
    <w:p>
      <w:r>
        <w:rPr>
          <w:sz w:val="21"/>
        </w:rPr>
        <w:t>1.5 Paragraph should mention amnesty testimony, state violence, forced disappearances, torture, accountability and the limits of prosecution. (8)</w:t>
      </w:r>
    </w:p>
    <w:p>
      <w:r>
        <w:rPr>
          <w:sz w:val="21"/>
        </w:rPr>
        <w:t>1.6 Amnesty allowed some perpetrators to avoid prosecution; victims wanted prosecution and full justice. (2)</w:t>
      </w:r>
    </w:p>
    <w:p>
      <w:r>
        <w:rPr>
          <w:b/>
          <w:sz w:val="21"/>
        </w:rPr>
        <w:t>HOME ESSAY PRACTICE</w:t>
      </w:r>
    </w:p>
    <w:p>
      <w:r>
        <w:rPr>
          <w:sz w:val="21"/>
        </w:rPr>
        <w:t>Choose ONE essay and write only the introduction and three planned body paragraphs.</w:t>
      </w:r>
    </w:p>
    <w:p>
      <w:r>
        <w:rPr>
          <w:sz w:val="21"/>
        </w:rPr>
        <w:t>1. “The road to democracy was characterised by violence and conflict, but the 1994 election still took place.” Discuss.</w:t>
      </w:r>
    </w:p>
    <w:p>
      <w:r>
        <w:rPr>
          <w:sz w:val="21"/>
        </w:rPr>
        <w:t>2. “Gorbachev’s reforms influenced De Klerk’s political reforms.” Critically discuss.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Award 5 marks for a relevant introduction with a clear line of argument and 5 marks for organised body-paragraph plans containing accurate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