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Life Orientation Grade 12 — DBE 2023 — Class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CLASS ACTIVITIES</w:t>
      </w:r>
    </w:p>
    <w:p>
      <w:r>
        <w:rPr>
          <w:b/>
          <w:sz w:val="21"/>
        </w:rPr>
        <w:t>CLASS ACTIVITIES (40)</w:t>
      </w:r>
    </w:p>
    <w:p>
      <w:r>
        <w:rPr>
          <w:sz w:val="21"/>
        </w:rPr>
        <w:t>1. Sustainable Development Goals</w:t>
      </w:r>
    </w:p>
    <w:p>
      <w:r>
        <w:rPr>
          <w:sz w:val="21"/>
        </w:rPr>
        <w:t>1.1 Match SDGs 1, 4, 5 and 8 to their correct development themes. (8)</w:t>
      </w:r>
    </w:p>
    <w:p>
      <w:r>
        <w:rPr>
          <w:sz w:val="21"/>
        </w:rPr>
        <w:t>1.2 Explain how quality education supports development. (8)</w:t>
      </w:r>
    </w:p>
    <w:p>
      <w:r>
        <w:rPr>
          <w:sz w:val="21"/>
        </w:rPr>
        <w:t>2. Wellbeing and stress</w:t>
      </w:r>
    </w:p>
    <w:p>
      <w:r>
        <w:rPr>
          <w:sz w:val="21"/>
        </w:rPr>
        <w:t>2.1 Distinguish between eustress and distress. (8)</w:t>
      </w:r>
    </w:p>
    <w:p>
      <w:r>
        <w:rPr>
          <w:sz w:val="21"/>
        </w:rPr>
        <w:t>2.2 Explain TWO healthy stress-management strategies. (8)</w:t>
      </w:r>
    </w:p>
    <w:p>
      <w:r>
        <w:rPr>
          <w:sz w:val="21"/>
        </w:rPr>
        <w:t>3. Human rights</w:t>
      </w:r>
    </w:p>
    <w:p>
      <w:r>
        <w:rPr>
          <w:sz w:val="21"/>
        </w:rPr>
        <w:t>3.1 Identify TWO examples of human-rights violations in schools or communities. (8)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