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Tourism Grade 12 — DBE 2023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First to fifth freedom rights relating to overflight, technical stop, passenger/cargo services and onward traffic. (5)</w:t>
      </w:r>
    </w:p>
    <w:p>
      <w:r>
        <w:rPr>
          <w:sz w:val="21"/>
        </w:rPr>
        <w:t>1.2 A resident travelling within their own country. (3)</w:t>
      </w:r>
    </w:p>
    <w:p>
      <w:r>
        <w:rPr>
          <w:sz w:val="21"/>
        </w:rPr>
        <w:t>1.3 Meetings, conferences, contracts, training, sales or professional work. Any two. (4)</w:t>
      </w:r>
    </w:p>
    <w:p>
      <w:r>
        <w:rPr>
          <w:sz w:val="21"/>
        </w:rPr>
        <w:t>1.4 An attraction draws visitors; a destination is the broader place visited and experienced. (4)</w:t>
      </w:r>
    </w:p>
    <w:p>
      <w:r>
        <w:rPr>
          <w:sz w:val="21"/>
        </w:rPr>
        <w:t>1.5 Waste reduction, local employment, water/energy saving, conservation fees, cultural respect. Any two.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