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0"/>
              </w:rPr>
              <w:t>MEMORIAL DESCRITIVO – PROJETO ELÉTRICO RESIDENCIAL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4819"/>
        <w:gridCol w:w="4819"/>
      </w:tblGrid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Obra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Residência Unifamiliar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Cliente / Contratante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NOME DO PROPRIETÁRIO / CONTRATANTE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Endereço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Rua Exemplo, nº 000 – Bairro – Cidade/UF – CEP 00000-000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Área construída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96.00 m²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Documento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MD-ELE-001 – Revisão 00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Data de emissão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25/06/2026</w:t>
            </w:r>
          </w:p>
        </w:tc>
      </w:tr>
      <w:tr>
        <w:tc>
          <w:tcPr>
            <w:tcW w:type="dxa" w:w="272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Responsável técnico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Eng. Eletricista Fulano de Tal – CREA-UF 000000000-0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1.   OBJETO</w:t>
      </w:r>
    </w:p>
    <w:p>
      <w:pPr>
        <w:spacing w:after="120"/>
        <w:jc w:val="both"/>
      </w:pPr>
      <w:r>
        <w:rPr>
          <w:b w:val="0"/>
          <w:sz w:val="20"/>
        </w:rPr>
        <w:t>Este memorial descritivo apresenta as premissas, os critérios e o dimensionamento da instalação elétrica de baixa tensão da obra “Residência Unifamiliar”, situada à Rua Exemplo, nº 000 – Bairro – Cidade/UF – CEP 00000-000. O documento integra o projeto elétrico e tem por finalidade descrever as características técnicas da instalação, a previsão de cargas, a divisão de circuitos, o dimensionamento de condutores e dispositivos de proteção, o sistema de aterramento e a análise da necessidade de proteção contra descargas atmosféricas (SPDA).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2.   NORMAS E DOCUMENTOS DE REFERÊNCIA</w:t>
      </w:r>
    </w:p>
    <w:p>
      <w:pPr>
        <w:spacing w:after="120"/>
        <w:jc w:val="both"/>
      </w:pPr>
      <w:r>
        <w:rPr>
          <w:b w:val="0"/>
          <w:sz w:val="20"/>
        </w:rPr>
        <w:t>O projeto observa as prescrições das normas técnicas vigentes, com destaque para:</w:t>
      </w:r>
    </w:p>
    <w:p>
      <w:pPr>
        <w:pStyle w:val="ListBullet"/>
        <w:spacing w:after="40"/>
      </w:pPr>
      <w:r>
        <w:rPr>
          <w:sz w:val="19"/>
        </w:rPr>
        <w:t>ABNT NBR 5410:2004 – Instalações elétricas de baixa tensão;</w:t>
      </w:r>
    </w:p>
    <w:p>
      <w:pPr>
        <w:pStyle w:val="ListBullet"/>
        <w:spacing w:after="40"/>
      </w:pPr>
      <w:r>
        <w:rPr>
          <w:sz w:val="19"/>
        </w:rPr>
        <w:t>ABNT NBR 5419:2015 (Partes 1 a 4) – Proteção contra descargas atmosféricas;</w:t>
      </w:r>
    </w:p>
    <w:p>
      <w:pPr>
        <w:pStyle w:val="ListBullet"/>
        <w:spacing w:after="40"/>
      </w:pPr>
      <w:r>
        <w:rPr>
          <w:sz w:val="19"/>
        </w:rPr>
        <w:t>ABNT NBR IEC 60898 – Disjuntores para proteção de sobrecorrentes em instalações domésticas;</w:t>
      </w:r>
    </w:p>
    <w:p>
      <w:pPr>
        <w:pStyle w:val="ListBullet"/>
        <w:spacing w:after="40"/>
      </w:pPr>
      <w:r>
        <w:rPr>
          <w:sz w:val="19"/>
        </w:rPr>
        <w:t>ABNT NBR IEC 61008 / 61009 – Interruptores diferenciais-residuais (DR);</w:t>
      </w:r>
    </w:p>
    <w:p>
      <w:pPr>
        <w:pStyle w:val="ListBullet"/>
        <w:spacing w:after="40"/>
      </w:pPr>
      <w:r>
        <w:rPr>
          <w:sz w:val="19"/>
        </w:rPr>
        <w:t>ABNT NBR 5444 / ABNT NBR IEC 60617 – Símbolos gráficos para instalações elétricas prediais;</w:t>
      </w:r>
    </w:p>
    <w:p>
      <w:pPr>
        <w:pStyle w:val="ListBullet"/>
        <w:spacing w:after="40"/>
      </w:pPr>
      <w:r>
        <w:rPr>
          <w:sz w:val="19"/>
        </w:rPr>
        <w:t>ABNT NBR ISO/CIE 8995-1 – Iluminação (níveis de iluminância);</w:t>
      </w:r>
    </w:p>
    <w:p>
      <w:pPr>
        <w:pStyle w:val="ListBullet"/>
        <w:spacing w:after="40"/>
      </w:pPr>
      <w:r>
        <w:rPr>
          <w:sz w:val="19"/>
        </w:rPr>
        <w:t>Norma de fornecimento da concessionária local (padrão de entrada e medição);</w:t>
      </w:r>
    </w:p>
    <w:p>
      <w:pPr>
        <w:pStyle w:val="ListBullet"/>
        <w:spacing w:after="40"/>
      </w:pPr>
      <w:r>
        <w:rPr>
          <w:sz w:val="19"/>
        </w:rPr>
        <w:t>NR-10 – Segurança em instalações e serviços em eletricidade.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3.   CARACTERÍSTICAS GERAIS DA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4819"/>
        <w:gridCol w:w="4819"/>
      </w:tblGrid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Concessionária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Concessionária local (ex.: COPEL / CEMIG / CPFL / Enel)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Tipo de fornecimento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Bifásico (2F+N) – 127/220 V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Tensões nominais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127 V (F-N) / 220 V (F-F) – 60 Hz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Esquema de aterramento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TN-S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Fator de potência de referência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0.92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Temperatura ambiente de projeto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30 °C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4.   PREVISÃO DE CARGAS</w:t>
      </w:r>
    </w:p>
    <w:p>
      <w:pPr>
        <w:spacing w:after="120"/>
        <w:jc w:val="both"/>
      </w:pPr>
      <w:r>
        <w:rPr>
          <w:b w:val="0"/>
          <w:sz w:val="20"/>
        </w:rPr>
        <w:t>A previsão de carga de iluminação e de tomadas de uso geral (TUG) segue os critérios mínimos da ABNT NBR 5410:2004 (item 9.5.2): iluminação de 100 VA para áreas até 6 m², acrescida de 60 VA a cada 4 m² inteiros excedentes; tomadas previstas pelo perímetro de cada ambiente, com 600 VA por ponto nas três primeiras tomadas de áreas molhadas (cozinha, copa, área de serviço, banheiros) e 100 VA nas demais.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Área (m²)</w:t>
            </w:r>
          </w:p>
        </w:tc>
        <w:tc>
          <w:tcPr>
            <w:tcW w:type="dxa" w:w="1361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Perím. (m)</w:t>
            </w:r>
          </w:p>
        </w:tc>
        <w:tc>
          <w:tcPr>
            <w:tcW w:type="dxa" w:w="181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Iluminação (VA)</w:t>
            </w:r>
          </w:p>
        </w:tc>
        <w:tc>
          <w:tcPr>
            <w:tcW w:type="dxa" w:w="1361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Tomadas (un.)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7"/>
              </w:rPr>
              <w:t>TUG (VA)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Sala de estar/jantar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18.0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17.0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280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400</w:t>
            </w:r>
          </w:p>
        </w:tc>
      </w:tr>
      <w:tr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Cozinha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13.0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1900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Área de serviço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8.0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1800</w:t>
            </w:r>
          </w:p>
        </w:tc>
      </w:tr>
      <w:tr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Dormitório 1 (suíte)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14.0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15.0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220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300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Dormitório 2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11.0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300</w:t>
            </w:r>
          </w:p>
        </w:tc>
      </w:tr>
      <w:tr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Banheiro social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8.0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1800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Banheiro da suíte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7.5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1800</w:t>
            </w:r>
          </w:p>
        </w:tc>
      </w:tr>
      <w:tr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Circulação / Hall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200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Varanda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6.0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10.0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1800</w:t>
            </w:r>
          </w:p>
        </w:tc>
      </w:tr>
      <w:tr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  <w:t>Garagem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15.0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16.0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220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7"/>
              </w:rPr>
              <w:t>400</w:t>
            </w:r>
          </w:p>
        </w:tc>
      </w:tr>
      <w:tr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lef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1540</w:t>
            </w:r>
          </w:p>
        </w:tc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type="dxa" w:w="1606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10700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sz w:val="20"/>
        </w:rPr>
        <w:t>Às cargas acima somam-se as tomadas de uso específico (TUE) dos equipamentos fixos. A potência total instalada resulta em 29.21 kW (29214 VA), assim distribuída: iluminação + TUG = 12240 VA e TUE = 16974 VA.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5.   DIVISÃO DE CIRCUITOS E QUADRO DE DISTRIBUIÇÃO</w:t>
      </w:r>
    </w:p>
    <w:p>
      <w:pPr>
        <w:spacing w:after="120"/>
        <w:jc w:val="both"/>
      </w:pPr>
      <w:r>
        <w:rPr>
          <w:b w:val="0"/>
          <w:sz w:val="20"/>
        </w:rPr>
        <w:t>Os circuitos terminais foram separados por função e por ambiente, com circuitos independentes para iluminação, tomadas de uso geral e cada tomada de uso específico, conforme a ABNT NBR 5410 (item 4.2.5). O quadro a seguir consolida o dimensionamento de cada circuito.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Circ.</w:t>
            </w:r>
          </w:p>
        </w:tc>
        <w:tc>
          <w:tcPr>
            <w:tcW w:type="dxa" w:w="2608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737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Sist./V</w:t>
            </w:r>
          </w:p>
        </w:tc>
        <w:tc>
          <w:tcPr>
            <w:tcW w:type="dxa" w:w="79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Pot. (VA)</w:t>
            </w:r>
          </w:p>
        </w:tc>
        <w:tc>
          <w:tcPr>
            <w:tcW w:type="dxa" w:w="62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IB (A)</w:t>
            </w:r>
          </w:p>
        </w:tc>
        <w:tc>
          <w:tcPr>
            <w:tcW w:type="dxa" w:w="680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Fase (mm²)</w:t>
            </w:r>
          </w:p>
        </w:tc>
        <w:tc>
          <w:tcPr>
            <w:tcW w:type="dxa" w:w="62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PE (mm²)</w:t>
            </w:r>
          </w:p>
        </w:tc>
        <w:tc>
          <w:tcPr>
            <w:tcW w:type="dxa" w:w="79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Eletrod. (mm)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Disjuntor</w:t>
            </w:r>
          </w:p>
        </w:tc>
        <w:tc>
          <w:tcPr>
            <w:tcW w:type="dxa" w:w="680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DR (mA)</w:t>
            </w:r>
          </w:p>
        </w:tc>
        <w:tc>
          <w:tcPr>
            <w:tcW w:type="dxa" w:w="624"/>
            <w:vAlign w:val="center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5"/>
              </w:rPr>
              <w:t>ΔV (%)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C1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Iluminação – setor social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700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5.5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6 (C)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2.27</w:t>
            </w:r>
          </w:p>
        </w:tc>
      </w:tr>
      <w:tr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C2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Iluminação – setor íntimo/serviço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840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6.6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10 (C)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2.47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C3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Tomadas – salas e dormitórios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1200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9.4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10 (C)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2.54</w:t>
            </w:r>
          </w:p>
        </w:tc>
      </w:tr>
      <w:tr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C4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Tomadas – cozinha (bancada/copa)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1900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15.0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 (C)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2.35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Tomadas – área de serviço e varanda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3600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28.3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32 (C)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3.18</w:t>
            </w:r>
          </w:p>
        </w:tc>
      </w:tr>
      <w:tr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Tomadas – banheiros e garagem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FN / 127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4000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31.5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32 (C)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3.97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C7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Chuveiro elétrico – banheiro social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FF / 220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5500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25 (C)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1.21</w:t>
            </w:r>
          </w:p>
        </w:tc>
      </w:tr>
      <w:tr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C8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Chuveiro elétrico – suíte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FF / 220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5500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25 (C)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1.42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C9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Torneira elétrica – cozinha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FF / 220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4500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20.5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25 (C)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876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1.08</w:t>
            </w:r>
          </w:p>
        </w:tc>
      </w:tr>
      <w:tr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/>
                <w:sz w:val="15"/>
              </w:rPr>
              <w:t>C10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 w:val="0"/>
                <w:sz w:val="15"/>
              </w:rPr>
              <w:t>Ar-condicionado – dormitório 1 (12.000 BTU)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FF / 220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1474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6.7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10 (C)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876"/>
            <w:vAlign w:val="center"/>
            <w:shd w:val="clear" w:color="auto" w:fill="F2F4F8"/>
          </w:tcPr>
          <w:p>
            <w:pPr>
              <w:spacing w:after="20" w:before="20"/>
              <w:jc w:val="center"/>
            </w:pPr>
            <w:r>
              <w:rPr>
                <w:b w:val="0"/>
                <w:sz w:val="15"/>
              </w:rPr>
              <w:t>0.65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color w:val="595959"/>
          <w:sz w:val="16"/>
        </w:rPr>
        <w:t>Legenda — Sist.: FN = fase-neutro, FF = fase-fase; Fase/PE: seção nominal do condutor de fase e de proteção (cobre); Eletrod.: diâmetro nominal do eletroduto; DR: corrente diferencial-residual nominal; ΔV: queda de tensão do circuito. Disjuntores em curva C (ABNT NBR IEC 60898).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6.   MEMORIAL DE CÁLCULO</w:t>
      </w:r>
    </w:p>
    <w:p>
      <w:pPr>
        <w:spacing w:after="40"/>
      </w:pPr>
      <w:r>
        <w:rPr>
          <w:b/>
          <w:sz w:val="20"/>
        </w:rPr>
        <w:t>6.1  Critérios e formulação</w:t>
      </w:r>
    </w:p>
    <w:p>
      <w:pPr>
        <w:pStyle w:val="ListBullet"/>
        <w:spacing w:after="40"/>
      </w:pPr>
      <w:r>
        <w:rPr>
          <w:sz w:val="19"/>
        </w:rPr>
        <w:t>Corrente de projeto: IB = P/V para circuitos monofásicos/bifásicos e IB = P/(√3·V) para trifásicos;</w:t>
      </w:r>
    </w:p>
    <w:p>
      <w:pPr>
        <w:pStyle w:val="ListBullet"/>
        <w:spacing w:after="40"/>
      </w:pPr>
      <w:r>
        <w:rPr>
          <w:sz w:val="19"/>
        </w:rPr>
        <w:t>Seções mínimas (NBR 5410, 6.2.6.1.1): 1,5 mm² para iluminação e 2,5 mm² para circuitos de tomadas (cobre);</w:t>
      </w:r>
    </w:p>
    <w:p>
      <w:pPr>
        <w:pStyle w:val="ListBullet"/>
        <w:spacing w:after="40"/>
      </w:pPr>
      <w:r>
        <w:rPr>
          <w:sz w:val="19"/>
        </w:rPr>
        <w:t>Capacidade de condução de corrente (ampacidade): NBR 5410 Tabela 36, cobre/PVC, com IZ corrigida por temperatura (FCT) e agrupamento (FCA), exigindo IZ ≥ IB;</w:t>
      </w:r>
    </w:p>
    <w:p>
      <w:pPr>
        <w:pStyle w:val="ListBullet"/>
        <w:spacing w:after="40"/>
      </w:pPr>
      <w:r>
        <w:rPr>
          <w:sz w:val="19"/>
        </w:rPr>
        <w:t>Coordenação proteção × condutor (NBR 5410, 5.3.4): IB ≤ IN ≤ IZ e I2 ≤ 1,45·IZ;</w:t>
      </w:r>
    </w:p>
    <w:p>
      <w:pPr>
        <w:pStyle w:val="ListBullet"/>
        <w:spacing w:after="40"/>
      </w:pPr>
      <w:r>
        <w:rPr>
          <w:sz w:val="19"/>
        </w:rPr>
        <w:t>Condutor de proteção PE: NBR 5410, Tabela 58, em função da seção de fase;</w:t>
      </w:r>
    </w:p>
    <w:p>
      <w:pPr>
        <w:pStyle w:val="ListBullet"/>
        <w:spacing w:after="40"/>
      </w:pPr>
      <w:r>
        <w:rPr>
          <w:sz w:val="19"/>
        </w:rPr>
        <w:t>Queda de tensão: limites de 4 % nos circuitos terminais e 7 % global (NBR 5410, 6.2.7).</w:t>
      </w:r>
    </w:p>
    <w:p>
      <w:pPr>
        <w:spacing w:after="40"/>
      </w:pPr>
      <w:r>
        <w:rPr>
          <w:b/>
          <w:sz w:val="20"/>
        </w:rPr>
        <w:t>6.2  Demanda provável e ramal de entrada</w:t>
      </w:r>
    </w:p>
    <w:p>
      <w:pPr>
        <w:spacing w:after="120"/>
        <w:jc w:val="both"/>
      </w:pPr>
      <w:r>
        <w:rPr>
          <w:b w:val="0"/>
          <w:sz w:val="20"/>
        </w:rPr>
        <w:t>Aplicando os fatores de demanda adotados (iluminação + TUG = 0.65; chuveiros/aquecedores = 0.75; demais TUE = 1.00), a demanda provável resulta em 22.18 kVA, correspondente a uma corrente de entrada de 87.3 A. O ramal de entrada é dimensionado em condutor de cobre de 25 mm² (PE de 16 mm²), protegido por disjuntor geral de 100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4819"/>
        <w:gridCol w:w="4819"/>
      </w:tblGrid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Demanda – iluminação + TUG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7956 VA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Demanda – uso específico (TUE)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14224 VA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Demanda provável total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22180 VA  (22.18 kVA)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Corrente de entrada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87.3 A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Condutor do ramal de entrada (Cu)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25 mm² (método B1) + PE 16 mm²</w:t>
            </w:r>
          </w:p>
        </w:tc>
      </w:tr>
      <w:tr>
        <w:tc>
          <w:tcPr>
            <w:tcW w:type="dxa" w:w="3061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>
              <w:rPr>
                <w:b/>
                <w:color w:val="1F3864"/>
                <w:sz w:val="19"/>
              </w:rPr>
              <w:t>Disjuntor geral</w:t>
            </w:r>
          </w:p>
        </w:tc>
        <w:tc>
          <w:tcPr>
            <w:tcW w:type="dxa" w:w="65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sz w:val="19"/>
              </w:rPr>
              <w:t>100 A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color w:val="595959"/>
          <w:sz w:val="16"/>
        </w:rPr>
        <w:t>Observação: os fatores de demanda são exemplificativos. Devem ser substituídos pelos valores da norma de fornecimento da concessionária local (p.ex. COPEL NTC 901100, CEMIG ND-5.1, CPFL/Enel), que também define o padrão de entrada, a caixa de medição e o ramal de ligação.</w:t>
      </w:r>
    </w:p>
    <w:p>
      <w:pPr>
        <w:spacing w:after="40"/>
      </w:pPr>
      <w:r>
        <w:rPr>
          <w:b/>
          <w:sz w:val="20"/>
        </w:rPr>
        <w:t>6.3  Queda de tensão</w:t>
      </w:r>
    </w:p>
    <w:p>
      <w:pPr>
        <w:spacing w:after="120"/>
        <w:jc w:val="both"/>
      </w:pPr>
      <w:r>
        <w:rPr>
          <w:b w:val="0"/>
          <w:sz w:val="20"/>
        </w:rPr>
        <w:t>A queda de tensão foi verificada para cada circuito pelo modelo resistivo ΔV(%) = (k·ρ·L·IB)/(S·V)·100, com ρ = 0.0178 Ω·mm²/m (cobre) e k = 2 para circuitos monofásicos/bifásicos e √3 para trifásicos. A maior queda de tensão entre os circuitos terminais é de 3.97 %, atendendo ao limite de 4 % para circuitos terminais e ao limite global de 7 % estabelecidos no item 6.2.7 da ABNT NBR 5410.</w:t>
      </w:r>
    </w:p>
    <w:p>
      <w:pPr>
        <w:spacing w:after="40"/>
      </w:pPr>
      <w:r>
        <w:rPr>
          <w:b/>
          <w:sz w:val="20"/>
        </w:rPr>
        <w:t>6.4  Proteção contra sobrecorrente, choques e surtos</w:t>
      </w:r>
    </w:p>
    <w:p>
      <w:pPr>
        <w:pStyle w:val="ListBullet"/>
        <w:spacing w:after="40"/>
      </w:pPr>
      <w:r>
        <w:rPr>
          <w:sz w:val="19"/>
        </w:rPr>
        <w:t>Sobrecorrente: cada circuito é protegido por disjuntor termomagnético (curva C, NBR IEC 60898) coordenado ao condutor (IB ≤ IN ≤ IZ);</w:t>
      </w:r>
    </w:p>
    <w:p>
      <w:pPr>
        <w:pStyle w:val="ListBullet"/>
        <w:spacing w:after="40"/>
      </w:pPr>
      <w:r>
        <w:rPr>
          <w:sz w:val="19"/>
        </w:rPr>
        <w:t>Choques elétricos: proteção por seccionamento automático e dispositivos diferenciais-residuais (DR) de alta sensibilidade (IΔn ≤ 30 mA) nos circuitos de tomadas de áreas molhadas, externas e de banheiros (NBR 5410, 5.1.3.2);</w:t>
      </w:r>
    </w:p>
    <w:p>
      <w:pPr>
        <w:pStyle w:val="ListBullet"/>
        <w:spacing w:after="40"/>
      </w:pPr>
      <w:r>
        <w:rPr>
          <w:sz w:val="19"/>
        </w:rPr>
        <w:t>Surtos: dispositivo de proteção contra surtos (DPS) classe II instalado na origem da instalação, junto ao quadro de distribuição (NBR 5410, 6.3.5);</w:t>
      </w:r>
    </w:p>
    <w:p>
      <w:pPr>
        <w:pStyle w:val="ListBullet"/>
        <w:spacing w:after="40"/>
      </w:pPr>
      <w:r>
        <w:rPr>
          <w:sz w:val="19"/>
        </w:rPr>
        <w:t>Seccionamento e comando: disjuntor geral no quadro de distribuição, com acessibilidade e identificação de todos os circuitos.</w:t>
      </w:r>
    </w:p>
    <w:p>
      <w:pPr>
        <w:spacing w:after="40"/>
      </w:pPr>
      <w:r>
        <w:rPr>
          <w:b/>
          <w:sz w:val="20"/>
        </w:rPr>
        <w:t>6.5  Aterramento e condutor de proteção</w:t>
      </w:r>
    </w:p>
    <w:p>
      <w:pPr>
        <w:spacing w:after="120"/>
        <w:jc w:val="both"/>
      </w:pPr>
      <w:r>
        <w:rPr>
          <w:b w:val="0"/>
          <w:sz w:val="20"/>
        </w:rPr>
        <w:t>Adota-se o esquema de aterramento TN-S, com barramento de equipotencialização principal (BEP) e condutor de proteção (PE) acompanhando todos os circuitos. As seções do PE seguem a Tabela 58 da ABNT NBR 5410 (S_PE = S_fase para S ≤ 16 mm²; 16 mm² para 16 &lt; S ≤ 35 mm²; S_fase/2 acima). O eletrodo de aterramento e a equipotencialização atendem ao item 6.4 da norma, com ligação à malha/haste e ao DPS.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7.   PROTEÇÃO CONTRA DESCARGAS ATMOSFÉRICAS (SPDA)</w:t>
      </w:r>
    </w:p>
    <w:p>
      <w:pPr>
        <w:spacing w:after="120"/>
        <w:jc w:val="both"/>
      </w:pPr>
      <w:r>
        <w:rPr>
          <w:b w:val="0"/>
          <w:sz w:val="20"/>
        </w:rPr>
        <w:t>A necessidade de SPDA é avaliada segundo a ABNT NBR 5419:2015. Para a edificação de 12 × 8 × 6 m, a área de exposição equivalente é Ad = 1834 m². Com densidade de descargas Ng = 6.0 raios/km²/ano e fator de localização Cd = 0.50, a frequência estimada de eventos perigosos é Nd = 5.50e-03 eventos/ano.</w:t>
      </w:r>
    </w:p>
    <w:p>
      <w:pPr>
        <w:spacing w:after="120"/>
        <w:jc w:val="both"/>
      </w:pPr>
      <w:r>
        <w:rPr>
          <w:b w:val="0"/>
          <w:sz w:val="20"/>
        </w:rPr>
        <w:t>Pelo critério preliminar de frequência, recomenda-se a instalação de SPDA, devendo a classe e o método de captação ser definidos pelo gerenciamento de risco completo. A decisão definitiva deve resultar do gerenciamento de risco da ABNT NBR 5419-2, comparando o risco R1 (perda de vida humana) ao risco tolerável RT = 1×10⁻⁵, considerando ainda as medidas de proteção (DPS, equipotencialização e aterramento) já previstas neste projeto.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8.   ESPECIFICAÇÃO BÁSICA DE MATERIAIS</w:t>
      </w:r>
    </w:p>
    <w:p>
      <w:pPr>
        <w:pStyle w:val="ListBullet"/>
        <w:spacing w:after="40"/>
      </w:pPr>
      <w:r>
        <w:rPr>
          <w:sz w:val="19"/>
        </w:rPr>
        <w:t>Condutores: cobre, isolação em PVC 70 °C / 750 V (ou EPR/XLPE quando indicado), com cores normalizadas — neutro azul-claro e PE verde-amarelo (NBR 5410, 6.1.5.3);</w:t>
      </w:r>
    </w:p>
    <w:p>
      <w:pPr>
        <w:pStyle w:val="ListBullet"/>
        <w:spacing w:after="40"/>
      </w:pPr>
      <w:r>
        <w:rPr>
          <w:sz w:val="19"/>
        </w:rPr>
        <w:t>Eletrodutos: PVC rígido antichama, embutidos, com taxa de ocupação ≤ 40 % (NBR 5410, 6.2.11);</w:t>
      </w:r>
    </w:p>
    <w:p>
      <w:pPr>
        <w:pStyle w:val="ListBullet"/>
        <w:spacing w:after="40"/>
      </w:pPr>
      <w:r>
        <w:rPr>
          <w:sz w:val="19"/>
        </w:rPr>
        <w:t>Disjuntores: termomagnéticos curva C, padrão DIN, capacidade de interrupção compatível com o curto-circuito presumido;</w:t>
      </w:r>
    </w:p>
    <w:p>
      <w:pPr>
        <w:pStyle w:val="ListBullet"/>
        <w:spacing w:after="40"/>
      </w:pPr>
      <w:r>
        <w:rPr>
          <w:sz w:val="19"/>
        </w:rPr>
        <w:t>Dispositivos DR de 30 mA e DPS classe II no quadro de distribuição;</w:t>
      </w:r>
    </w:p>
    <w:p>
      <w:pPr>
        <w:pStyle w:val="ListBullet"/>
        <w:spacing w:after="40"/>
      </w:pPr>
      <w:r>
        <w:rPr>
          <w:sz w:val="19"/>
        </w:rPr>
        <w:t>Quadro de distribuição (QDC) com barramentos de neutro e de PE separados (esquema TN-S);</w:t>
      </w:r>
    </w:p>
    <w:p>
      <w:pPr>
        <w:pStyle w:val="ListBullet"/>
        <w:spacing w:after="40"/>
      </w:pPr>
      <w:r>
        <w:rPr>
          <w:sz w:val="19"/>
        </w:rPr>
        <w:t>Aterramento: haste(s) de aço-cobre e condutores de equipotencialização conforme NBR 5410, item 6.4.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9.   CONSIDERAÇÕES FINAIS</w:t>
      </w:r>
    </w:p>
    <w:p>
      <w:pPr>
        <w:spacing w:after="120"/>
        <w:jc w:val="both"/>
      </w:pPr>
      <w:r>
        <w:rPr>
          <w:b w:val="0"/>
          <w:sz w:val="20"/>
        </w:rPr>
        <w:t>A execução deve seguir integralmente este projeto, as normas citadas e as boas práticas de engenharia, com mão de obra qualificada e sob observância da NR-10. Qualquer alteração em obra deve ser previamente submetida ao responsável técnico. Os materiais devem ser certificados (INMETRO, quando aplicável) e a instalação deve ser ensaiada (continuidade do PE, resistência de isolamento, funcionamento dos DR e resistência de aterramento) antes da energização.</w:t>
      </w:r>
    </w:p>
    <w:p>
      <w:pPr>
        <w:keepNext/>
        <w:spacing w:before="240" w:after="80"/>
        <w:pBdr>
          <w:bottom w:val="single" w:sz="6" w:space="2" w:color="1F3864"/>
        </w:pBdr>
      </w:pPr>
      <w:r>
        <w:rPr>
          <w:b/>
          <w:color w:val="1F3864"/>
          <w:sz w:val="24"/>
        </w:rPr>
        <w:t>10.   RESPONSÁVEL TÉCNICO</w:t>
      </w:r>
    </w:p>
    <w:p>
      <w:pPr>
        <w:spacing w:after="440"/>
      </w:pPr>
    </w:p>
    <w:p>
      <w:pPr>
        <w:jc w:val="center"/>
      </w:pPr>
      <w:r>
        <w:t>________________________________________________</w:t>
      </w:r>
    </w:p>
    <w:p>
      <w:pPr>
        <w:spacing w:after="0"/>
        <w:jc w:val="center"/>
      </w:pPr>
      <w:r>
        <w:rPr>
          <w:b/>
          <w:sz w:val="20"/>
        </w:rPr>
        <w:t>Eng. Eletricista Fulano de Tal</w:t>
      </w:r>
    </w:p>
    <w:p>
      <w:pPr>
        <w:spacing w:after="0"/>
        <w:jc w:val="center"/>
      </w:pPr>
      <w:r>
        <w:rPr>
          <w:b w:val="0"/>
          <w:sz w:val="20"/>
        </w:rPr>
        <w:t>Engenheiro Eletricista</w:t>
      </w:r>
    </w:p>
    <w:p>
      <w:pPr>
        <w:spacing w:after="0"/>
        <w:jc w:val="center"/>
      </w:pPr>
      <w:r>
        <w:rPr>
          <w:b w:val="0"/>
          <w:sz w:val="20"/>
        </w:rPr>
        <w:t>CREA-UF 000000000-0</w:t>
      </w:r>
    </w:p>
    <w:p>
      <w:pPr>
        <w:spacing w:after="0"/>
        <w:jc w:val="center"/>
      </w:pPr>
      <w:r>
        <w:rPr>
          <w:b w:val="0"/>
          <w:sz w:val="20"/>
        </w:rPr>
        <w:t>ART nº 0000000000000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020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3213"/>
      <w:gridCol w:w="3213"/>
      <w:gridCol w:w="3213"/>
    </w:tblGrid>
    <w:tr>
      <w:tc>
        <w:tcPr>
          <w:tcW w:type="dxa" w:w="3402"/>
          <w:tcBorders>
            <w:top w:val="single" w:sz="6" w:space="0" w:color="BFBFBF"/>
          </w:tcBorders>
        </w:tcPr>
        <w:p>
          <w:pPr>
            <w:jc w:val="left"/>
          </w:pPr>
          <w:r>
            <w:rPr>
              <w:color w:val="595959"/>
              <w:sz w:val="15"/>
            </w:rPr>
            <w:t>Cidade/UF  ·  00.000.000/0001-00</w:t>
          </w:r>
        </w:p>
      </w:tc>
      <w:tc>
        <w:tcPr>
          <w:tcW w:type="dxa" w:w="3402"/>
          <w:tcBorders>
            <w:top w:val="single" w:sz="6" w:space="0" w:color="BFBFBF"/>
          </w:tcBorders>
        </w:tcPr>
        <w:p>
          <w:pPr>
            <w:jc w:val="center"/>
          </w:pPr>
          <w:r>
            <w:rPr>
              <w:color w:val="595959"/>
              <w:sz w:val="15"/>
            </w:rPr>
            <w:t>contato@empresa.com.br  ·  (00) 0000-0000</w:t>
          </w:r>
        </w:p>
      </w:tc>
      <w:tc>
        <w:tcPr>
          <w:tcW w:type="dxa" w:w="2835"/>
          <w:tcBorders>
            <w:top w:val="single" w:sz="6" w:space="0" w:color="BFBFBF"/>
          </w:tcBorders>
        </w:tcPr>
        <w:p>
          <w:pPr>
            <w:jc w:val="right"/>
          </w:pPr>
          <w:r>
            <w:rPr>
              <w:color w:val="595959"/>
              <w:sz w:val="15"/>
            </w:rPr>
            <w:t xml:space="preserve">Página </w:t>
          </w:r>
          <w:r>
            <w:rPr>
              <w:color w:val="595959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color w:val="595959"/>
              <w:sz w:val="15"/>
            </w:rPr>
            <w:t xml:space="preserve"> de </w:t>
          </w:r>
          <w:r>
            <w:rPr>
              <w:color w:val="595959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19"/>
      <w:gridCol w:w="4819"/>
    </w:tblGrid>
    <w:tr>
      <w:tc>
        <w:tcPr>
          <w:tcW w:type="dxa" w:w="3118"/>
          <w:vAlign w:val="center"/>
          <w:tcBorders>
            <w:bottom w:val="single" w:sz="8" w:space="0" w:color="1F3864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655999" cy="4761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999" cy="4761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520"/>
          <w:vAlign w:val="center"/>
          <w:tcBorders>
            <w:bottom w:val="single" w:sz="8" w:space="0" w:color="1F3864"/>
          </w:tcBorders>
        </w:tcPr>
        <w:p>
          <w:pPr>
            <w:spacing w:after="0"/>
            <w:jc w:val="right"/>
          </w:pPr>
          <w:r>
            <w:rPr>
              <w:b/>
              <w:color w:val="1F3864"/>
              <w:sz w:val="22"/>
            </w:rPr>
            <w:t>NOME DA EMPRESA LTDA.</w:t>
          </w:r>
        </w:p>
        <w:p>
          <w:pPr>
            <w:spacing w:after="0"/>
            <w:jc w:val="right"/>
          </w:pPr>
          <w:r>
            <w:rPr>
              <w:b w:val="0"/>
              <w:color w:val="595959"/>
              <w:sz w:val="16"/>
            </w:rPr>
            <w:t>Engenharia Elétrica · Projetos e Consultoria</w:t>
          </w:r>
        </w:p>
        <w:p>
          <w:pPr>
            <w:spacing w:after="0"/>
            <w:jc w:val="right"/>
          </w:pPr>
          <w:r>
            <w:rPr>
              <w:b w:val="0"/>
              <w:color w:val="595959"/>
              <w:sz w:val="16"/>
            </w:rPr>
            <w:t>MD-ELE-001  ·  Rev. 00</w:t>
          </w:r>
        </w:p>
      </w:tc>
    </w:tr>
  </w:tbl>
  <w:p>
    <w:pPr>
      <w:spacing w:after="0"/>
    </w:pPr>
    <w:r>
      <w:drawing xmlns:a="http://schemas.openxmlformats.org/drawingml/2006/main" xmlns:pic="http://schemas.openxmlformats.org/drawingml/2006/picture">
        <wp:anchor behindDoc="1" distT="0" distB="0" distL="0" distR="0" simplePos="0" locked="0" layoutInCell="1" allowOverlap="1" relativeHeight="25165414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760000" cy="1656000"/>
          <wp:effectExtent l="0" t="0" r="0" b="0"/>
          <wp:wrapNone/>
          <wp:docPr id="901" name="marca_dagu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1" name="marca_dagu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60000" cy="165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– PROJETO ELÉTRICO RESIDENCIAL</dc:title>
  <dc:subject>Memorial Descritivo de Instalação Elétrica – ABNT NBR 5410/5419</dc:subject>
  <dc:creator>Eng. Eletricista Fulano de 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Projeto Elétrico</cp:category>
</cp:coreProperties>
</file>