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5AF1C" w14:textId="77777777" w:rsidR="00915380" w:rsidRDefault="00915380" w:rsidP="00915380">
      <w:pPr>
        <w:pStyle w:val="Heading1"/>
        <w:spacing w:line="360" w:lineRule="auto"/>
        <w:jc w:val="both"/>
        <w:rPr>
          <w:rFonts w:ascii="Times New Roman" w:hAnsi="Times New Roman" w:cs="Times New Roman"/>
        </w:rPr>
      </w:pPr>
      <w:r w:rsidRPr="00915380">
        <w:rPr>
          <w:rFonts w:ascii="Times New Roman" w:hAnsi="Times New Roman" w:cs="Times New Roman"/>
        </w:rPr>
        <w:t>SECURITIES &amp; TOKEN CLASSIFICATION REPORT</w:t>
      </w:r>
    </w:p>
    <w:p w14:paraId="3C73A7F3" w14:textId="3BFEF9AF" w:rsidR="00915380" w:rsidRDefault="00915380" w:rsidP="00915380">
      <w:pPr>
        <w:spacing w:line="360" w:lineRule="auto"/>
        <w:jc w:val="both"/>
        <w:rPr>
          <w:rFonts w:ascii="Times New Roman" w:hAnsi="Times New Roman" w:cs="Times New Roman"/>
        </w:rPr>
      </w:pPr>
      <w:r w:rsidRPr="00915380">
        <w:rPr>
          <w:rFonts w:ascii="Times New Roman" w:hAnsi="Times New Roman" w:cs="Times New Roman"/>
        </w:rPr>
        <w:t>Last Updated: February 25th, 2025</w:t>
      </w:r>
    </w:p>
    <w:p w14:paraId="61B1C403" w14:textId="77777777" w:rsidR="00915380" w:rsidRPr="00915380" w:rsidRDefault="00915380" w:rsidP="00915380">
      <w:pPr>
        <w:spacing w:line="360" w:lineRule="auto"/>
        <w:jc w:val="both"/>
        <w:rPr>
          <w:rFonts w:ascii="Times New Roman" w:hAnsi="Times New Roman" w:cs="Times New Roman"/>
        </w:rPr>
      </w:pPr>
    </w:p>
    <w:p w14:paraId="57B6723C" w14:textId="77777777" w:rsidR="00915380" w:rsidRPr="00915380" w:rsidRDefault="00915380" w:rsidP="00915380">
      <w:pPr>
        <w:pStyle w:val="Heading2"/>
        <w:spacing w:line="360" w:lineRule="auto"/>
        <w:jc w:val="both"/>
        <w:rPr>
          <w:rFonts w:ascii="Times New Roman" w:hAnsi="Times New Roman" w:cs="Times New Roman"/>
        </w:rPr>
      </w:pPr>
      <w:r w:rsidRPr="00915380">
        <w:rPr>
          <w:rFonts w:ascii="Times New Roman" w:hAnsi="Times New Roman" w:cs="Times New Roman"/>
        </w:rPr>
        <w:t>1. INTRODUCTION</w:t>
      </w:r>
    </w:p>
    <w:p w14:paraId="0D494C94" w14:textId="77777777" w:rsidR="00915380" w:rsidRPr="00915380" w:rsidRDefault="00915380" w:rsidP="00915380">
      <w:pPr>
        <w:spacing w:line="360" w:lineRule="auto"/>
        <w:jc w:val="both"/>
        <w:rPr>
          <w:rFonts w:ascii="Times New Roman" w:hAnsi="Times New Roman" w:cs="Times New Roman"/>
        </w:rPr>
      </w:pPr>
      <w:r w:rsidRPr="00915380">
        <w:rPr>
          <w:rFonts w:ascii="Times New Roman" w:hAnsi="Times New Roman" w:cs="Times New Roman"/>
        </w:rPr>
        <w:t>This report assesses whether MAGIC WORLD Tokens ("Tokens") qualify as securities under UK law and evaluates their classification in compliance with the UK Financial Conduct Authority (FCA) guidelines. The objective is to ensure regulatory compliance and mitigate risks associated with digital asset issuance.</w:t>
      </w:r>
    </w:p>
    <w:p w14:paraId="500B8901" w14:textId="211CB3F1" w:rsidR="00915380" w:rsidRPr="00915380" w:rsidRDefault="00915380" w:rsidP="00915380">
      <w:pPr>
        <w:spacing w:line="360" w:lineRule="auto"/>
        <w:jc w:val="both"/>
        <w:rPr>
          <w:rFonts w:ascii="Times New Roman" w:hAnsi="Times New Roman" w:cs="Times New Roman"/>
        </w:rPr>
      </w:pPr>
    </w:p>
    <w:p w14:paraId="6593D0E4" w14:textId="77777777" w:rsidR="00915380" w:rsidRPr="00915380" w:rsidRDefault="00915380" w:rsidP="00915380">
      <w:pPr>
        <w:pStyle w:val="Heading2"/>
        <w:spacing w:line="360" w:lineRule="auto"/>
        <w:jc w:val="both"/>
        <w:rPr>
          <w:rFonts w:ascii="Times New Roman" w:hAnsi="Times New Roman" w:cs="Times New Roman"/>
        </w:rPr>
      </w:pPr>
      <w:r w:rsidRPr="00915380">
        <w:rPr>
          <w:rFonts w:ascii="Times New Roman" w:hAnsi="Times New Roman" w:cs="Times New Roman"/>
        </w:rPr>
        <w:t>2. LEGAL FRAMEWORK &amp; REGULATORY GUIDANCE</w:t>
      </w:r>
    </w:p>
    <w:p w14:paraId="72C19963" w14:textId="77777777" w:rsidR="00915380" w:rsidRPr="00915380" w:rsidRDefault="00915380" w:rsidP="00915380">
      <w:pPr>
        <w:spacing w:line="360" w:lineRule="auto"/>
        <w:jc w:val="both"/>
        <w:rPr>
          <w:rFonts w:ascii="Times New Roman" w:hAnsi="Times New Roman" w:cs="Times New Roman"/>
        </w:rPr>
      </w:pPr>
      <w:r w:rsidRPr="00915380">
        <w:rPr>
          <w:rFonts w:ascii="Times New Roman" w:hAnsi="Times New Roman" w:cs="Times New Roman"/>
        </w:rPr>
        <w:t>The classification of Tokens is determined by:</w:t>
      </w:r>
    </w:p>
    <w:p w14:paraId="08264DA6" w14:textId="77777777" w:rsidR="00915380" w:rsidRPr="00915380" w:rsidRDefault="00915380" w:rsidP="00915380">
      <w:pPr>
        <w:numPr>
          <w:ilvl w:val="0"/>
          <w:numId w:val="1"/>
        </w:numPr>
        <w:spacing w:line="360" w:lineRule="auto"/>
        <w:jc w:val="both"/>
        <w:rPr>
          <w:rFonts w:ascii="Times New Roman" w:hAnsi="Times New Roman" w:cs="Times New Roman"/>
        </w:rPr>
      </w:pPr>
      <w:r w:rsidRPr="00915380">
        <w:rPr>
          <w:rFonts w:ascii="Times New Roman" w:hAnsi="Times New Roman" w:cs="Times New Roman"/>
        </w:rPr>
        <w:t>The UK Financial Services and Markets Act 2000 (FSMA)</w:t>
      </w:r>
    </w:p>
    <w:p w14:paraId="407D9553" w14:textId="10D097E0" w:rsidR="00915380" w:rsidRPr="00915380" w:rsidRDefault="00915380" w:rsidP="00915380">
      <w:pPr>
        <w:numPr>
          <w:ilvl w:val="0"/>
          <w:numId w:val="1"/>
        </w:numPr>
        <w:spacing w:line="360" w:lineRule="auto"/>
        <w:jc w:val="both"/>
        <w:rPr>
          <w:rFonts w:ascii="Times New Roman" w:hAnsi="Times New Roman" w:cs="Times New Roman"/>
        </w:rPr>
      </w:pPr>
      <w:r w:rsidRPr="00915380">
        <w:rPr>
          <w:rFonts w:ascii="Times New Roman" w:hAnsi="Times New Roman" w:cs="Times New Roman"/>
        </w:rPr>
        <w:t>The Financial Conduct Authority (FCA) Guidance on Crypto</w:t>
      </w:r>
      <w:r>
        <w:rPr>
          <w:rFonts w:ascii="Times New Roman" w:hAnsi="Times New Roman" w:cs="Times New Roman"/>
        </w:rPr>
        <w:t xml:space="preserve"> </w:t>
      </w:r>
      <w:r w:rsidRPr="00915380">
        <w:rPr>
          <w:rFonts w:ascii="Times New Roman" w:hAnsi="Times New Roman" w:cs="Times New Roman"/>
        </w:rPr>
        <w:t>assets (PS19/22)</w:t>
      </w:r>
    </w:p>
    <w:p w14:paraId="2CD65796" w14:textId="77777777" w:rsidR="00915380" w:rsidRPr="00915380" w:rsidRDefault="00915380" w:rsidP="00915380">
      <w:pPr>
        <w:numPr>
          <w:ilvl w:val="0"/>
          <w:numId w:val="1"/>
        </w:numPr>
        <w:spacing w:line="360" w:lineRule="auto"/>
        <w:jc w:val="both"/>
        <w:rPr>
          <w:rFonts w:ascii="Times New Roman" w:hAnsi="Times New Roman" w:cs="Times New Roman"/>
        </w:rPr>
      </w:pPr>
      <w:r w:rsidRPr="00915380">
        <w:rPr>
          <w:rFonts w:ascii="Times New Roman" w:hAnsi="Times New Roman" w:cs="Times New Roman"/>
        </w:rPr>
        <w:t>The Electronic Money Regulations 2011 (EMR 2011)</w:t>
      </w:r>
    </w:p>
    <w:p w14:paraId="35EAE571" w14:textId="77777777" w:rsidR="00915380" w:rsidRPr="00915380" w:rsidRDefault="00915380" w:rsidP="00915380">
      <w:pPr>
        <w:numPr>
          <w:ilvl w:val="0"/>
          <w:numId w:val="1"/>
        </w:numPr>
        <w:spacing w:line="360" w:lineRule="auto"/>
        <w:jc w:val="both"/>
        <w:rPr>
          <w:rFonts w:ascii="Times New Roman" w:hAnsi="Times New Roman" w:cs="Times New Roman"/>
        </w:rPr>
      </w:pPr>
      <w:r w:rsidRPr="00915380">
        <w:rPr>
          <w:rFonts w:ascii="Times New Roman" w:hAnsi="Times New Roman" w:cs="Times New Roman"/>
        </w:rPr>
        <w:t>The Markets in Financial Instruments Directive II (MiFID II)</w:t>
      </w:r>
    </w:p>
    <w:p w14:paraId="0F70F2A0" w14:textId="77777777" w:rsidR="00915380" w:rsidRPr="00915380" w:rsidRDefault="00915380" w:rsidP="00915380">
      <w:pPr>
        <w:numPr>
          <w:ilvl w:val="0"/>
          <w:numId w:val="1"/>
        </w:numPr>
        <w:spacing w:line="360" w:lineRule="auto"/>
        <w:jc w:val="both"/>
        <w:rPr>
          <w:rFonts w:ascii="Times New Roman" w:hAnsi="Times New Roman" w:cs="Times New Roman"/>
        </w:rPr>
      </w:pPr>
      <w:r w:rsidRPr="00915380">
        <w:rPr>
          <w:rFonts w:ascii="Times New Roman" w:hAnsi="Times New Roman" w:cs="Times New Roman"/>
        </w:rPr>
        <w:t>The UK Money Laundering Regulations 2017 (MLR 2017)</w:t>
      </w:r>
    </w:p>
    <w:p w14:paraId="7B189E0B" w14:textId="77777777" w:rsidR="00915380" w:rsidRPr="00915380" w:rsidRDefault="00915380" w:rsidP="00915380">
      <w:pPr>
        <w:numPr>
          <w:ilvl w:val="0"/>
          <w:numId w:val="1"/>
        </w:numPr>
        <w:spacing w:line="360" w:lineRule="auto"/>
        <w:jc w:val="both"/>
        <w:rPr>
          <w:rFonts w:ascii="Times New Roman" w:hAnsi="Times New Roman" w:cs="Times New Roman"/>
        </w:rPr>
      </w:pPr>
      <w:r w:rsidRPr="00915380">
        <w:rPr>
          <w:rFonts w:ascii="Times New Roman" w:hAnsi="Times New Roman" w:cs="Times New Roman"/>
        </w:rPr>
        <w:t>HMRC Taxation Guidelines for Crypto Transactions</w:t>
      </w:r>
    </w:p>
    <w:p w14:paraId="7A73F57E" w14:textId="270DBEB1" w:rsidR="00915380" w:rsidRPr="00915380" w:rsidRDefault="00915380" w:rsidP="00915380">
      <w:pPr>
        <w:spacing w:line="360" w:lineRule="auto"/>
        <w:jc w:val="both"/>
        <w:rPr>
          <w:rFonts w:ascii="Times New Roman" w:hAnsi="Times New Roman" w:cs="Times New Roman"/>
        </w:rPr>
      </w:pPr>
      <w:r w:rsidRPr="00915380">
        <w:rPr>
          <w:rFonts w:ascii="Times New Roman" w:hAnsi="Times New Roman" w:cs="Times New Roman"/>
        </w:rPr>
        <w:t>The FCA classifies crypto</w:t>
      </w:r>
      <w:r>
        <w:rPr>
          <w:rFonts w:ascii="Times New Roman" w:hAnsi="Times New Roman" w:cs="Times New Roman"/>
        </w:rPr>
        <w:t xml:space="preserve"> </w:t>
      </w:r>
      <w:r w:rsidRPr="00915380">
        <w:rPr>
          <w:rFonts w:ascii="Times New Roman" w:hAnsi="Times New Roman" w:cs="Times New Roman"/>
        </w:rPr>
        <w:t>assets into three categories:</w:t>
      </w:r>
    </w:p>
    <w:p w14:paraId="4D9DD962" w14:textId="77777777" w:rsidR="00915380" w:rsidRPr="00915380" w:rsidRDefault="00915380" w:rsidP="00915380">
      <w:pPr>
        <w:numPr>
          <w:ilvl w:val="0"/>
          <w:numId w:val="2"/>
        </w:numPr>
        <w:spacing w:line="360" w:lineRule="auto"/>
        <w:jc w:val="both"/>
        <w:rPr>
          <w:rFonts w:ascii="Times New Roman" w:hAnsi="Times New Roman" w:cs="Times New Roman"/>
        </w:rPr>
      </w:pPr>
      <w:r w:rsidRPr="00915380">
        <w:rPr>
          <w:rFonts w:ascii="Times New Roman" w:hAnsi="Times New Roman" w:cs="Times New Roman"/>
        </w:rPr>
        <w:t>Security Tokens – Tokens that provide ownership, voting rights, or entitlements to future profits. These are regulated under FSMA.</w:t>
      </w:r>
    </w:p>
    <w:p w14:paraId="3BA9731F" w14:textId="77777777" w:rsidR="00915380" w:rsidRPr="00915380" w:rsidRDefault="00915380" w:rsidP="00915380">
      <w:pPr>
        <w:numPr>
          <w:ilvl w:val="0"/>
          <w:numId w:val="2"/>
        </w:numPr>
        <w:spacing w:line="360" w:lineRule="auto"/>
        <w:jc w:val="both"/>
        <w:rPr>
          <w:rFonts w:ascii="Times New Roman" w:hAnsi="Times New Roman" w:cs="Times New Roman"/>
        </w:rPr>
      </w:pPr>
      <w:r w:rsidRPr="00915380">
        <w:rPr>
          <w:rFonts w:ascii="Times New Roman" w:hAnsi="Times New Roman" w:cs="Times New Roman"/>
        </w:rPr>
        <w:t>E-Money Tokens – Tokens that function as digital cash equivalents under the EMR 2011.</w:t>
      </w:r>
    </w:p>
    <w:p w14:paraId="6EB24307" w14:textId="77777777" w:rsidR="00915380" w:rsidRPr="00915380" w:rsidRDefault="00915380" w:rsidP="00915380">
      <w:pPr>
        <w:numPr>
          <w:ilvl w:val="0"/>
          <w:numId w:val="2"/>
        </w:numPr>
        <w:spacing w:line="360" w:lineRule="auto"/>
        <w:jc w:val="both"/>
        <w:rPr>
          <w:rFonts w:ascii="Times New Roman" w:hAnsi="Times New Roman" w:cs="Times New Roman"/>
        </w:rPr>
      </w:pPr>
      <w:r w:rsidRPr="00915380">
        <w:rPr>
          <w:rFonts w:ascii="Times New Roman" w:hAnsi="Times New Roman" w:cs="Times New Roman"/>
        </w:rPr>
        <w:t>Utility Tokens – Tokens used to access digital services/products and are not considered regulated investments.</w:t>
      </w:r>
    </w:p>
    <w:p w14:paraId="47C24A6B" w14:textId="62FD0E5B" w:rsidR="00915380" w:rsidRPr="00915380" w:rsidRDefault="00915380" w:rsidP="00915380">
      <w:pPr>
        <w:spacing w:line="360" w:lineRule="auto"/>
        <w:jc w:val="both"/>
        <w:rPr>
          <w:rFonts w:ascii="Times New Roman" w:hAnsi="Times New Roman" w:cs="Times New Roman"/>
        </w:rPr>
      </w:pPr>
    </w:p>
    <w:p w14:paraId="03ADD3DA" w14:textId="77777777" w:rsidR="00915380" w:rsidRPr="00915380" w:rsidRDefault="00915380" w:rsidP="00915380">
      <w:pPr>
        <w:pStyle w:val="Heading2"/>
        <w:spacing w:line="360" w:lineRule="auto"/>
        <w:jc w:val="both"/>
        <w:rPr>
          <w:rFonts w:ascii="Times New Roman" w:hAnsi="Times New Roman" w:cs="Times New Roman"/>
        </w:rPr>
      </w:pPr>
      <w:r w:rsidRPr="00915380">
        <w:rPr>
          <w:rFonts w:ascii="Times New Roman" w:hAnsi="Times New Roman" w:cs="Times New Roman"/>
        </w:rPr>
        <w:t>3. CLASSIFICATION OF MAGIC WORLD TOKENS</w:t>
      </w:r>
    </w:p>
    <w:p w14:paraId="3EA4F1AA" w14:textId="77777777" w:rsidR="00915380" w:rsidRPr="00915380" w:rsidRDefault="00915380" w:rsidP="00915380">
      <w:pPr>
        <w:spacing w:line="360" w:lineRule="auto"/>
        <w:jc w:val="both"/>
        <w:rPr>
          <w:rFonts w:ascii="Times New Roman" w:hAnsi="Times New Roman" w:cs="Times New Roman"/>
        </w:rPr>
      </w:pPr>
      <w:r w:rsidRPr="00915380">
        <w:rPr>
          <w:rFonts w:ascii="Times New Roman" w:hAnsi="Times New Roman" w:cs="Times New Roman"/>
        </w:rPr>
        <w:t>After a comprehensive legal assessment, MAGIC WORLD Tokens are classified as Utility Tokens based on the following characteristics:</w:t>
      </w:r>
    </w:p>
    <w:p w14:paraId="58D7EBAF" w14:textId="77777777" w:rsidR="00915380" w:rsidRPr="00915380" w:rsidRDefault="00915380" w:rsidP="00915380">
      <w:pPr>
        <w:pStyle w:val="ListParagraph"/>
        <w:numPr>
          <w:ilvl w:val="0"/>
          <w:numId w:val="7"/>
        </w:numPr>
        <w:spacing w:line="360" w:lineRule="auto"/>
        <w:jc w:val="both"/>
        <w:rPr>
          <w:rFonts w:ascii="Times New Roman" w:hAnsi="Times New Roman" w:cs="Times New Roman"/>
        </w:rPr>
      </w:pPr>
      <w:r w:rsidRPr="00915380">
        <w:rPr>
          <w:rFonts w:ascii="Times New Roman" w:hAnsi="Times New Roman" w:cs="Times New Roman"/>
        </w:rPr>
        <w:t>No Ownership Rights: Tokens do not grant equity, dividends, or corporate voting rights.</w:t>
      </w:r>
    </w:p>
    <w:p w14:paraId="6E798C1C" w14:textId="77777777" w:rsidR="00915380" w:rsidRPr="00915380" w:rsidRDefault="00915380" w:rsidP="00915380">
      <w:pPr>
        <w:pStyle w:val="ListParagraph"/>
        <w:numPr>
          <w:ilvl w:val="0"/>
          <w:numId w:val="7"/>
        </w:numPr>
        <w:spacing w:line="360" w:lineRule="auto"/>
        <w:jc w:val="both"/>
        <w:rPr>
          <w:rFonts w:ascii="Times New Roman" w:hAnsi="Times New Roman" w:cs="Times New Roman"/>
        </w:rPr>
      </w:pPr>
      <w:r w:rsidRPr="00915380">
        <w:rPr>
          <w:rFonts w:ascii="Times New Roman" w:hAnsi="Times New Roman" w:cs="Times New Roman"/>
        </w:rPr>
        <w:t>Functional Use Case: Tokens are solely used for in-game transactions, rewards, and digital asset purchases within the MAGIC WORLD ecosystem.</w:t>
      </w:r>
    </w:p>
    <w:p w14:paraId="480111D2" w14:textId="26DD1501" w:rsidR="00915380" w:rsidRPr="00915380" w:rsidRDefault="00915380" w:rsidP="00915380">
      <w:pPr>
        <w:pStyle w:val="ListParagraph"/>
        <w:numPr>
          <w:ilvl w:val="0"/>
          <w:numId w:val="7"/>
        </w:numPr>
        <w:spacing w:line="360" w:lineRule="auto"/>
        <w:jc w:val="both"/>
        <w:rPr>
          <w:rFonts w:ascii="Times New Roman" w:hAnsi="Times New Roman" w:cs="Times New Roman"/>
        </w:rPr>
      </w:pPr>
      <w:r w:rsidRPr="00915380">
        <w:rPr>
          <w:rFonts w:ascii="Times New Roman" w:hAnsi="Times New Roman" w:cs="Times New Roman"/>
        </w:rPr>
        <w:t>Not an Investment Vehicle: Tokens do not generate returns based on the efforts of a third party</w:t>
      </w:r>
      <w:r w:rsidR="006425AC">
        <w:rPr>
          <w:rFonts w:ascii="Times New Roman" w:hAnsi="Times New Roman" w:cs="Times New Roman"/>
        </w:rPr>
        <w:t>.</w:t>
      </w:r>
    </w:p>
    <w:p w14:paraId="6C1584AC" w14:textId="77777777" w:rsidR="00915380" w:rsidRPr="00915380" w:rsidRDefault="00915380" w:rsidP="00915380">
      <w:pPr>
        <w:pStyle w:val="ListParagraph"/>
        <w:numPr>
          <w:ilvl w:val="0"/>
          <w:numId w:val="7"/>
        </w:numPr>
        <w:spacing w:line="360" w:lineRule="auto"/>
        <w:jc w:val="both"/>
        <w:rPr>
          <w:rFonts w:ascii="Times New Roman" w:hAnsi="Times New Roman" w:cs="Times New Roman"/>
        </w:rPr>
      </w:pPr>
      <w:r w:rsidRPr="00915380">
        <w:rPr>
          <w:rFonts w:ascii="Times New Roman" w:hAnsi="Times New Roman" w:cs="Times New Roman"/>
        </w:rPr>
        <w:t>No E-Money Features: Tokens are not pegged to fiat currency and cannot be redeemed for cash.</w:t>
      </w:r>
    </w:p>
    <w:p w14:paraId="108F9D18" w14:textId="77777777" w:rsidR="00915380" w:rsidRPr="00915380" w:rsidRDefault="00915380" w:rsidP="00915380">
      <w:pPr>
        <w:pStyle w:val="ListParagraph"/>
        <w:numPr>
          <w:ilvl w:val="0"/>
          <w:numId w:val="7"/>
        </w:numPr>
        <w:spacing w:line="360" w:lineRule="auto"/>
        <w:jc w:val="both"/>
        <w:rPr>
          <w:rFonts w:ascii="Times New Roman" w:hAnsi="Times New Roman" w:cs="Times New Roman"/>
        </w:rPr>
      </w:pPr>
      <w:r w:rsidRPr="00915380">
        <w:rPr>
          <w:rFonts w:ascii="Times New Roman" w:hAnsi="Times New Roman" w:cs="Times New Roman"/>
        </w:rPr>
        <w:t>Restricted Trading: Tokens are not designed for speculative trading or financial gain but serve as a medium for in-game functionalities.</w:t>
      </w:r>
    </w:p>
    <w:p w14:paraId="708A56B1" w14:textId="3657D7C2" w:rsidR="00915380" w:rsidRPr="00915380" w:rsidRDefault="00915380" w:rsidP="00915380">
      <w:pPr>
        <w:spacing w:line="360" w:lineRule="auto"/>
        <w:jc w:val="both"/>
        <w:rPr>
          <w:rFonts w:ascii="Times New Roman" w:hAnsi="Times New Roman" w:cs="Times New Roman"/>
        </w:rPr>
      </w:pPr>
    </w:p>
    <w:p w14:paraId="062CAE41" w14:textId="77777777" w:rsidR="00915380" w:rsidRPr="00915380" w:rsidRDefault="00915380" w:rsidP="00915380">
      <w:pPr>
        <w:pStyle w:val="Heading2"/>
        <w:spacing w:line="360" w:lineRule="auto"/>
        <w:jc w:val="both"/>
        <w:rPr>
          <w:rFonts w:ascii="Times New Roman" w:hAnsi="Times New Roman" w:cs="Times New Roman"/>
        </w:rPr>
      </w:pPr>
      <w:r w:rsidRPr="00915380">
        <w:rPr>
          <w:rFonts w:ascii="Times New Roman" w:hAnsi="Times New Roman" w:cs="Times New Roman"/>
        </w:rPr>
        <w:t>4. FCA COMPLIANCE &amp; LEGAL IMPLICATIONS</w:t>
      </w:r>
    </w:p>
    <w:p w14:paraId="7B25A117" w14:textId="77777777" w:rsidR="00915380" w:rsidRPr="00915380" w:rsidRDefault="00915380" w:rsidP="00915380">
      <w:pPr>
        <w:spacing w:line="360" w:lineRule="auto"/>
        <w:jc w:val="both"/>
        <w:rPr>
          <w:rFonts w:ascii="Times New Roman" w:hAnsi="Times New Roman" w:cs="Times New Roman"/>
        </w:rPr>
      </w:pPr>
      <w:r w:rsidRPr="00915380">
        <w:rPr>
          <w:rFonts w:ascii="Times New Roman" w:hAnsi="Times New Roman" w:cs="Times New Roman"/>
        </w:rPr>
        <w:t>Since MAGIC WORLD Tokens are Utility Tokens, they fall outside direct FCA securities regulations. However, the Company must still comply with:</w:t>
      </w:r>
    </w:p>
    <w:p w14:paraId="6DA1F95F" w14:textId="77777777" w:rsidR="00915380" w:rsidRPr="00915380" w:rsidRDefault="00915380" w:rsidP="00915380">
      <w:pPr>
        <w:numPr>
          <w:ilvl w:val="0"/>
          <w:numId w:val="4"/>
        </w:numPr>
        <w:spacing w:line="360" w:lineRule="auto"/>
        <w:jc w:val="both"/>
        <w:rPr>
          <w:rFonts w:ascii="Times New Roman" w:hAnsi="Times New Roman" w:cs="Times New Roman"/>
        </w:rPr>
      </w:pPr>
      <w:r w:rsidRPr="00915380">
        <w:rPr>
          <w:rFonts w:ascii="Times New Roman" w:hAnsi="Times New Roman" w:cs="Times New Roman"/>
        </w:rPr>
        <w:t>Anti-Money Laundering (AML) &amp; Know Your Customer (KYC) Regulations under the UK’s Money Laundering Regulations (MLR 2017).</w:t>
      </w:r>
    </w:p>
    <w:p w14:paraId="79E8A1D3" w14:textId="77777777" w:rsidR="00915380" w:rsidRPr="00915380" w:rsidRDefault="00915380" w:rsidP="00915380">
      <w:pPr>
        <w:numPr>
          <w:ilvl w:val="0"/>
          <w:numId w:val="4"/>
        </w:numPr>
        <w:spacing w:line="360" w:lineRule="auto"/>
        <w:jc w:val="both"/>
        <w:rPr>
          <w:rFonts w:ascii="Times New Roman" w:hAnsi="Times New Roman" w:cs="Times New Roman"/>
        </w:rPr>
      </w:pPr>
      <w:r w:rsidRPr="00915380">
        <w:rPr>
          <w:rFonts w:ascii="Times New Roman" w:hAnsi="Times New Roman" w:cs="Times New Roman"/>
        </w:rPr>
        <w:t>Marketing Restrictions to avoid misleading claims about token value appreciation or speculative investment potential.</w:t>
      </w:r>
    </w:p>
    <w:p w14:paraId="6C9526A4" w14:textId="77777777" w:rsidR="00915380" w:rsidRPr="00915380" w:rsidRDefault="00915380" w:rsidP="00915380">
      <w:pPr>
        <w:numPr>
          <w:ilvl w:val="0"/>
          <w:numId w:val="4"/>
        </w:numPr>
        <w:spacing w:line="360" w:lineRule="auto"/>
        <w:jc w:val="both"/>
        <w:rPr>
          <w:rFonts w:ascii="Times New Roman" w:hAnsi="Times New Roman" w:cs="Times New Roman"/>
        </w:rPr>
      </w:pPr>
      <w:r w:rsidRPr="00915380">
        <w:rPr>
          <w:rFonts w:ascii="Times New Roman" w:hAnsi="Times New Roman" w:cs="Times New Roman"/>
        </w:rPr>
        <w:t>Consumer Protection Laws to ensure transparency and fairness in token sales and usage within the MAGIC WORLD ecosystem.</w:t>
      </w:r>
    </w:p>
    <w:p w14:paraId="30F85FAF" w14:textId="77777777" w:rsidR="00915380" w:rsidRPr="00915380" w:rsidRDefault="00915380" w:rsidP="00915380">
      <w:pPr>
        <w:numPr>
          <w:ilvl w:val="0"/>
          <w:numId w:val="4"/>
        </w:numPr>
        <w:spacing w:line="360" w:lineRule="auto"/>
        <w:jc w:val="both"/>
        <w:rPr>
          <w:rFonts w:ascii="Times New Roman" w:hAnsi="Times New Roman" w:cs="Times New Roman"/>
        </w:rPr>
      </w:pPr>
      <w:r w:rsidRPr="00915380">
        <w:rPr>
          <w:rFonts w:ascii="Times New Roman" w:hAnsi="Times New Roman" w:cs="Times New Roman"/>
        </w:rPr>
        <w:t>Taxation Compliance under HMRC guidelines for crypto transactions, ensuring users are aware of their tax obligations.</w:t>
      </w:r>
    </w:p>
    <w:p w14:paraId="437B8B06" w14:textId="77777777" w:rsidR="00915380" w:rsidRPr="00915380" w:rsidRDefault="00915380" w:rsidP="00915380">
      <w:pPr>
        <w:numPr>
          <w:ilvl w:val="0"/>
          <w:numId w:val="4"/>
        </w:numPr>
        <w:spacing w:line="360" w:lineRule="auto"/>
        <w:jc w:val="both"/>
        <w:rPr>
          <w:rFonts w:ascii="Times New Roman" w:hAnsi="Times New Roman" w:cs="Times New Roman"/>
        </w:rPr>
      </w:pPr>
      <w:r w:rsidRPr="00915380">
        <w:rPr>
          <w:rFonts w:ascii="Times New Roman" w:hAnsi="Times New Roman" w:cs="Times New Roman"/>
        </w:rPr>
        <w:t>Data Protection &amp; Privacy Laws under UK GDPR, ensuring user information related to token transactions is handled securely.</w:t>
      </w:r>
    </w:p>
    <w:p w14:paraId="759145D6" w14:textId="779BFD78" w:rsidR="00915380" w:rsidRPr="00915380" w:rsidRDefault="00915380" w:rsidP="00915380">
      <w:pPr>
        <w:spacing w:line="360" w:lineRule="auto"/>
        <w:jc w:val="both"/>
        <w:rPr>
          <w:rFonts w:ascii="Times New Roman" w:hAnsi="Times New Roman" w:cs="Times New Roman"/>
        </w:rPr>
      </w:pPr>
    </w:p>
    <w:p w14:paraId="613108B8" w14:textId="77777777" w:rsidR="00915380" w:rsidRPr="00915380" w:rsidRDefault="00915380" w:rsidP="00915380">
      <w:pPr>
        <w:pStyle w:val="Heading2"/>
        <w:spacing w:line="360" w:lineRule="auto"/>
        <w:jc w:val="both"/>
        <w:rPr>
          <w:rFonts w:ascii="Times New Roman" w:hAnsi="Times New Roman" w:cs="Times New Roman"/>
        </w:rPr>
      </w:pPr>
      <w:r w:rsidRPr="00915380">
        <w:rPr>
          <w:rFonts w:ascii="Times New Roman" w:hAnsi="Times New Roman" w:cs="Times New Roman"/>
        </w:rPr>
        <w:t>5. RISK FACTORS</w:t>
      </w:r>
    </w:p>
    <w:p w14:paraId="31285CED" w14:textId="77777777" w:rsidR="00915380" w:rsidRPr="00915380" w:rsidRDefault="00915380" w:rsidP="00915380">
      <w:pPr>
        <w:spacing w:line="360" w:lineRule="auto"/>
        <w:jc w:val="both"/>
        <w:rPr>
          <w:rFonts w:ascii="Times New Roman" w:hAnsi="Times New Roman" w:cs="Times New Roman"/>
        </w:rPr>
      </w:pPr>
      <w:r w:rsidRPr="00915380">
        <w:rPr>
          <w:rFonts w:ascii="Times New Roman" w:hAnsi="Times New Roman" w:cs="Times New Roman"/>
        </w:rPr>
        <w:t>While MAGIC WORLD Tokens are not classified as securities, the following risks remain:</w:t>
      </w:r>
    </w:p>
    <w:p w14:paraId="7481C104" w14:textId="77777777" w:rsidR="00915380" w:rsidRPr="00915380" w:rsidRDefault="00915380" w:rsidP="00915380">
      <w:pPr>
        <w:numPr>
          <w:ilvl w:val="0"/>
          <w:numId w:val="5"/>
        </w:numPr>
        <w:spacing w:line="360" w:lineRule="auto"/>
        <w:jc w:val="both"/>
        <w:rPr>
          <w:rFonts w:ascii="Times New Roman" w:hAnsi="Times New Roman" w:cs="Times New Roman"/>
        </w:rPr>
      </w:pPr>
      <w:r w:rsidRPr="00915380">
        <w:rPr>
          <w:rFonts w:ascii="Times New Roman" w:hAnsi="Times New Roman" w:cs="Times New Roman"/>
        </w:rPr>
        <w:t>Regulatory Changes: Future UK laws may impose additional compliance obligations, requiring modifications to token usage.</w:t>
      </w:r>
    </w:p>
    <w:p w14:paraId="30D6BD40" w14:textId="77777777" w:rsidR="00915380" w:rsidRPr="00915380" w:rsidRDefault="00915380" w:rsidP="00915380">
      <w:pPr>
        <w:numPr>
          <w:ilvl w:val="0"/>
          <w:numId w:val="5"/>
        </w:numPr>
        <w:spacing w:line="360" w:lineRule="auto"/>
        <w:jc w:val="both"/>
        <w:rPr>
          <w:rFonts w:ascii="Times New Roman" w:hAnsi="Times New Roman" w:cs="Times New Roman"/>
        </w:rPr>
      </w:pPr>
      <w:r w:rsidRPr="00915380">
        <w:rPr>
          <w:rFonts w:ascii="Times New Roman" w:hAnsi="Times New Roman" w:cs="Times New Roman"/>
        </w:rPr>
        <w:t>Market Volatility: The value of Tokens may fluctuate due to supply-demand dynamics, affecting user adoption and engagement.</w:t>
      </w:r>
    </w:p>
    <w:p w14:paraId="39271166" w14:textId="77777777" w:rsidR="00915380" w:rsidRPr="00915380" w:rsidRDefault="00915380" w:rsidP="00915380">
      <w:pPr>
        <w:numPr>
          <w:ilvl w:val="0"/>
          <w:numId w:val="5"/>
        </w:numPr>
        <w:spacing w:line="360" w:lineRule="auto"/>
        <w:jc w:val="both"/>
        <w:rPr>
          <w:rFonts w:ascii="Times New Roman" w:hAnsi="Times New Roman" w:cs="Times New Roman"/>
        </w:rPr>
      </w:pPr>
      <w:r w:rsidRPr="00915380">
        <w:rPr>
          <w:rFonts w:ascii="Times New Roman" w:hAnsi="Times New Roman" w:cs="Times New Roman"/>
        </w:rPr>
        <w:t>Operational Risks: Security vulnerabilities, hacking, or smart contract failures could impact token functionality and integrity.</w:t>
      </w:r>
    </w:p>
    <w:p w14:paraId="2AD34508" w14:textId="77777777" w:rsidR="00915380" w:rsidRPr="00915380" w:rsidRDefault="00915380" w:rsidP="00915380">
      <w:pPr>
        <w:numPr>
          <w:ilvl w:val="0"/>
          <w:numId w:val="5"/>
        </w:numPr>
        <w:spacing w:line="360" w:lineRule="auto"/>
        <w:jc w:val="both"/>
        <w:rPr>
          <w:rFonts w:ascii="Times New Roman" w:hAnsi="Times New Roman" w:cs="Times New Roman"/>
        </w:rPr>
      </w:pPr>
      <w:r w:rsidRPr="00915380">
        <w:rPr>
          <w:rFonts w:ascii="Times New Roman" w:hAnsi="Times New Roman" w:cs="Times New Roman"/>
        </w:rPr>
        <w:t>Jurisdictional Risks: Users outside the UK must ensure compliance with local laws and regulations concerning crypto assets.</w:t>
      </w:r>
    </w:p>
    <w:p w14:paraId="060C089F" w14:textId="77777777" w:rsidR="00915380" w:rsidRPr="00915380" w:rsidRDefault="00915380" w:rsidP="00915380">
      <w:pPr>
        <w:numPr>
          <w:ilvl w:val="0"/>
          <w:numId w:val="5"/>
        </w:numPr>
        <w:spacing w:line="360" w:lineRule="auto"/>
        <w:jc w:val="both"/>
        <w:rPr>
          <w:rFonts w:ascii="Times New Roman" w:hAnsi="Times New Roman" w:cs="Times New Roman"/>
        </w:rPr>
      </w:pPr>
      <w:r w:rsidRPr="00915380">
        <w:rPr>
          <w:rFonts w:ascii="Times New Roman" w:hAnsi="Times New Roman" w:cs="Times New Roman"/>
        </w:rPr>
        <w:t>Liquidity Risks: Limited exchanges or trading platforms may support the token, affecting its transferability and usability outside the MAGIC WORLD ecosystem.</w:t>
      </w:r>
    </w:p>
    <w:p w14:paraId="16B35E88" w14:textId="6D51D66D" w:rsidR="00915380" w:rsidRPr="00915380" w:rsidRDefault="00915380" w:rsidP="00915380">
      <w:pPr>
        <w:spacing w:line="360" w:lineRule="auto"/>
        <w:jc w:val="both"/>
        <w:rPr>
          <w:rFonts w:ascii="Times New Roman" w:hAnsi="Times New Roman" w:cs="Times New Roman"/>
        </w:rPr>
      </w:pPr>
    </w:p>
    <w:p w14:paraId="7A3E45AB" w14:textId="77777777" w:rsidR="00915380" w:rsidRPr="00915380" w:rsidRDefault="00915380" w:rsidP="00915380">
      <w:pPr>
        <w:pStyle w:val="Heading2"/>
        <w:spacing w:line="360" w:lineRule="auto"/>
        <w:jc w:val="both"/>
        <w:rPr>
          <w:rFonts w:ascii="Times New Roman" w:hAnsi="Times New Roman" w:cs="Times New Roman"/>
        </w:rPr>
      </w:pPr>
      <w:r w:rsidRPr="00915380">
        <w:rPr>
          <w:rFonts w:ascii="Times New Roman" w:hAnsi="Times New Roman" w:cs="Times New Roman"/>
        </w:rPr>
        <w:t>6. CONCLUSION &amp; RECOMMENDATIONS</w:t>
      </w:r>
    </w:p>
    <w:p w14:paraId="4203AF27" w14:textId="77777777" w:rsidR="00915380" w:rsidRPr="00915380" w:rsidRDefault="00915380" w:rsidP="00915380">
      <w:pPr>
        <w:spacing w:line="360" w:lineRule="auto"/>
        <w:jc w:val="both"/>
        <w:rPr>
          <w:rFonts w:ascii="Times New Roman" w:hAnsi="Times New Roman" w:cs="Times New Roman"/>
        </w:rPr>
      </w:pPr>
      <w:r w:rsidRPr="00915380">
        <w:rPr>
          <w:rFonts w:ascii="Times New Roman" w:hAnsi="Times New Roman" w:cs="Times New Roman"/>
        </w:rPr>
        <w:t>Based on the legal analysis, MAGIC WORLD Tokens are classified as Utility Tokens, meaning they are not subject to UK securities regulations. However, to maintain compliance and mitigate risks, the following recommendations should be implemented:</w:t>
      </w:r>
    </w:p>
    <w:p w14:paraId="226332BA" w14:textId="77777777" w:rsidR="00915380" w:rsidRPr="00915380" w:rsidRDefault="00915380" w:rsidP="00915380">
      <w:pPr>
        <w:numPr>
          <w:ilvl w:val="0"/>
          <w:numId w:val="6"/>
        </w:numPr>
        <w:spacing w:line="360" w:lineRule="auto"/>
        <w:jc w:val="both"/>
        <w:rPr>
          <w:rFonts w:ascii="Times New Roman" w:hAnsi="Times New Roman" w:cs="Times New Roman"/>
        </w:rPr>
      </w:pPr>
      <w:r w:rsidRPr="00915380">
        <w:rPr>
          <w:rFonts w:ascii="Times New Roman" w:hAnsi="Times New Roman" w:cs="Times New Roman"/>
        </w:rPr>
        <w:t>Conduct regular legal audits to monitor evolving FCA and international crypto regulations.</w:t>
      </w:r>
    </w:p>
    <w:p w14:paraId="529DCEF4" w14:textId="77777777" w:rsidR="00915380" w:rsidRPr="00915380" w:rsidRDefault="00915380" w:rsidP="00915380">
      <w:pPr>
        <w:numPr>
          <w:ilvl w:val="0"/>
          <w:numId w:val="6"/>
        </w:numPr>
        <w:spacing w:line="360" w:lineRule="auto"/>
        <w:jc w:val="both"/>
        <w:rPr>
          <w:rFonts w:ascii="Times New Roman" w:hAnsi="Times New Roman" w:cs="Times New Roman"/>
        </w:rPr>
      </w:pPr>
      <w:r w:rsidRPr="00915380">
        <w:rPr>
          <w:rFonts w:ascii="Times New Roman" w:hAnsi="Times New Roman" w:cs="Times New Roman"/>
        </w:rPr>
        <w:t>Implement robust AML/KYC procedures to prevent illicit activities and ensure regulatory compliance.</w:t>
      </w:r>
    </w:p>
    <w:p w14:paraId="0B194820" w14:textId="77777777" w:rsidR="00915380" w:rsidRPr="00915380" w:rsidRDefault="00915380" w:rsidP="00915380">
      <w:pPr>
        <w:numPr>
          <w:ilvl w:val="0"/>
          <w:numId w:val="6"/>
        </w:numPr>
        <w:spacing w:line="360" w:lineRule="auto"/>
        <w:jc w:val="both"/>
        <w:rPr>
          <w:rFonts w:ascii="Times New Roman" w:hAnsi="Times New Roman" w:cs="Times New Roman"/>
        </w:rPr>
      </w:pPr>
      <w:r w:rsidRPr="00915380">
        <w:rPr>
          <w:rFonts w:ascii="Times New Roman" w:hAnsi="Times New Roman" w:cs="Times New Roman"/>
        </w:rPr>
        <w:t>Ensure clear disclaimers in marketing materials to avoid misrepresentation of token functionality and legal status.</w:t>
      </w:r>
    </w:p>
    <w:p w14:paraId="63F0B32A" w14:textId="77777777" w:rsidR="00915380" w:rsidRPr="00915380" w:rsidRDefault="00915380" w:rsidP="00915380">
      <w:pPr>
        <w:numPr>
          <w:ilvl w:val="0"/>
          <w:numId w:val="6"/>
        </w:numPr>
        <w:spacing w:line="360" w:lineRule="auto"/>
        <w:jc w:val="both"/>
        <w:rPr>
          <w:rFonts w:ascii="Times New Roman" w:hAnsi="Times New Roman" w:cs="Times New Roman"/>
        </w:rPr>
      </w:pPr>
      <w:r w:rsidRPr="00915380">
        <w:rPr>
          <w:rFonts w:ascii="Times New Roman" w:hAnsi="Times New Roman" w:cs="Times New Roman"/>
        </w:rPr>
        <w:t>Maintain transparency regarding token functionality, limitations, and user responsibilities.</w:t>
      </w:r>
    </w:p>
    <w:p w14:paraId="24162D4C" w14:textId="77777777" w:rsidR="00915380" w:rsidRPr="00915380" w:rsidRDefault="00915380" w:rsidP="00915380">
      <w:pPr>
        <w:numPr>
          <w:ilvl w:val="0"/>
          <w:numId w:val="6"/>
        </w:numPr>
        <w:spacing w:line="360" w:lineRule="auto"/>
        <w:jc w:val="both"/>
        <w:rPr>
          <w:rFonts w:ascii="Times New Roman" w:hAnsi="Times New Roman" w:cs="Times New Roman"/>
        </w:rPr>
      </w:pPr>
      <w:r w:rsidRPr="00915380">
        <w:rPr>
          <w:rFonts w:ascii="Times New Roman" w:hAnsi="Times New Roman" w:cs="Times New Roman"/>
        </w:rPr>
        <w:t>Establish contingency plans to adapt to potential regulatory changes impacting digital assets.</w:t>
      </w:r>
    </w:p>
    <w:p w14:paraId="01D48AB0" w14:textId="57BC9604" w:rsidR="00915380" w:rsidRPr="00915380" w:rsidRDefault="00915380" w:rsidP="00915380">
      <w:pPr>
        <w:spacing w:line="360" w:lineRule="auto"/>
        <w:jc w:val="both"/>
        <w:rPr>
          <w:rFonts w:ascii="Times New Roman" w:hAnsi="Times New Roman" w:cs="Times New Roman"/>
        </w:rPr>
      </w:pPr>
      <w:r w:rsidRPr="00915380">
        <w:rPr>
          <w:rFonts w:ascii="Times New Roman" w:hAnsi="Times New Roman" w:cs="Times New Roman"/>
        </w:rPr>
        <w:t xml:space="preserve">For further legal inquiries, </w:t>
      </w:r>
      <w:r w:rsidRPr="00915380">
        <w:rPr>
          <w:rFonts w:ascii="Times New Roman" w:hAnsi="Times New Roman" w:cs="Times New Roman"/>
        </w:rPr>
        <w:t xml:space="preserve">please </w:t>
      </w:r>
      <w:r w:rsidRPr="00915380">
        <w:rPr>
          <w:rFonts w:ascii="Times New Roman" w:hAnsi="Times New Roman" w:cs="Times New Roman"/>
        </w:rPr>
        <w:t>contact</w:t>
      </w:r>
      <w:r w:rsidRPr="00915380">
        <w:rPr>
          <w:rFonts w:ascii="Times New Roman" w:hAnsi="Times New Roman" w:cs="Times New Roman"/>
        </w:rPr>
        <w:t>:</w:t>
      </w:r>
      <w:r w:rsidRPr="00915380">
        <w:rPr>
          <w:rFonts w:ascii="Times New Roman" w:hAnsi="Times New Roman" w:cs="Times New Roman"/>
        </w:rPr>
        <w:t xml:space="preserve"> </w:t>
      </w:r>
      <w:r w:rsidRPr="00915380">
        <w:rPr>
          <w:rFonts w:ascii="Times New Roman" w:hAnsi="Times New Roman" w:cs="Times New Roman"/>
          <w:highlight w:val="yellow"/>
        </w:rPr>
        <w:t>support@magicworld.com</w:t>
      </w:r>
      <w:r w:rsidRPr="00915380">
        <w:rPr>
          <w:rFonts w:ascii="Times New Roman" w:hAnsi="Times New Roman" w:cs="Times New Roman"/>
        </w:rPr>
        <w:t>.</w:t>
      </w:r>
    </w:p>
    <w:p w14:paraId="7910CE42" w14:textId="77777777" w:rsidR="00915380" w:rsidRPr="00915380" w:rsidRDefault="00915380" w:rsidP="00915380">
      <w:pPr>
        <w:spacing w:line="360" w:lineRule="auto"/>
        <w:jc w:val="both"/>
        <w:rPr>
          <w:rFonts w:ascii="Times New Roman" w:hAnsi="Times New Roman" w:cs="Times New Roman"/>
        </w:rPr>
      </w:pPr>
    </w:p>
    <w:sectPr w:rsidR="00915380" w:rsidRPr="00915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A70391"/>
    <w:multiLevelType w:val="multilevel"/>
    <w:tmpl w:val="84FE661C"/>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C7128"/>
    <w:multiLevelType w:val="hybridMultilevel"/>
    <w:tmpl w:val="AA8066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21023F9"/>
    <w:multiLevelType w:val="multilevel"/>
    <w:tmpl w:val="5630F640"/>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12F99"/>
    <w:multiLevelType w:val="multilevel"/>
    <w:tmpl w:val="7394908E"/>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A45091"/>
    <w:multiLevelType w:val="multilevel"/>
    <w:tmpl w:val="359AA68E"/>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6E0D9E"/>
    <w:multiLevelType w:val="multilevel"/>
    <w:tmpl w:val="3C9C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685A08"/>
    <w:multiLevelType w:val="multilevel"/>
    <w:tmpl w:val="68A2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5032768">
    <w:abstractNumId w:val="4"/>
  </w:num>
  <w:num w:numId="2" w16cid:durableId="13465629">
    <w:abstractNumId w:val="6"/>
  </w:num>
  <w:num w:numId="3" w16cid:durableId="619924138">
    <w:abstractNumId w:val="5"/>
  </w:num>
  <w:num w:numId="4" w16cid:durableId="498272584">
    <w:abstractNumId w:val="0"/>
  </w:num>
  <w:num w:numId="5" w16cid:durableId="1165440768">
    <w:abstractNumId w:val="3"/>
  </w:num>
  <w:num w:numId="6" w16cid:durableId="2104841900">
    <w:abstractNumId w:val="2"/>
  </w:num>
  <w:num w:numId="7" w16cid:durableId="630356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380"/>
    <w:rsid w:val="006425AC"/>
    <w:rsid w:val="00915380"/>
    <w:rsid w:val="00A563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BE0C1"/>
  <w15:chartTrackingRefBased/>
  <w15:docId w15:val="{2FBABAC8-F6FE-4041-98F6-A6F7A3BA6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3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153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53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53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53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53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3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3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3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3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153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53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53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53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53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3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3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380"/>
    <w:rPr>
      <w:rFonts w:eastAsiaTheme="majorEastAsia" w:cstheme="majorBidi"/>
      <w:color w:val="272727" w:themeColor="text1" w:themeTint="D8"/>
    </w:rPr>
  </w:style>
  <w:style w:type="paragraph" w:styleId="Title">
    <w:name w:val="Title"/>
    <w:basedOn w:val="Normal"/>
    <w:next w:val="Normal"/>
    <w:link w:val="TitleChar"/>
    <w:uiPriority w:val="10"/>
    <w:qFormat/>
    <w:rsid w:val="009153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3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3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3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380"/>
    <w:pPr>
      <w:spacing w:before="160"/>
      <w:jc w:val="center"/>
    </w:pPr>
    <w:rPr>
      <w:i/>
      <w:iCs/>
      <w:color w:val="404040" w:themeColor="text1" w:themeTint="BF"/>
    </w:rPr>
  </w:style>
  <w:style w:type="character" w:customStyle="1" w:styleId="QuoteChar">
    <w:name w:val="Quote Char"/>
    <w:basedOn w:val="DefaultParagraphFont"/>
    <w:link w:val="Quote"/>
    <w:uiPriority w:val="29"/>
    <w:rsid w:val="00915380"/>
    <w:rPr>
      <w:i/>
      <w:iCs/>
      <w:color w:val="404040" w:themeColor="text1" w:themeTint="BF"/>
    </w:rPr>
  </w:style>
  <w:style w:type="paragraph" w:styleId="ListParagraph">
    <w:name w:val="List Paragraph"/>
    <w:basedOn w:val="Normal"/>
    <w:uiPriority w:val="34"/>
    <w:qFormat/>
    <w:rsid w:val="00915380"/>
    <w:pPr>
      <w:ind w:left="720"/>
      <w:contextualSpacing/>
    </w:pPr>
  </w:style>
  <w:style w:type="character" w:styleId="IntenseEmphasis">
    <w:name w:val="Intense Emphasis"/>
    <w:basedOn w:val="DefaultParagraphFont"/>
    <w:uiPriority w:val="21"/>
    <w:qFormat/>
    <w:rsid w:val="00915380"/>
    <w:rPr>
      <w:i/>
      <w:iCs/>
      <w:color w:val="2F5496" w:themeColor="accent1" w:themeShade="BF"/>
    </w:rPr>
  </w:style>
  <w:style w:type="paragraph" w:styleId="IntenseQuote">
    <w:name w:val="Intense Quote"/>
    <w:basedOn w:val="Normal"/>
    <w:next w:val="Normal"/>
    <w:link w:val="IntenseQuoteChar"/>
    <w:uiPriority w:val="30"/>
    <w:qFormat/>
    <w:rsid w:val="009153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5380"/>
    <w:rPr>
      <w:i/>
      <w:iCs/>
      <w:color w:val="2F5496" w:themeColor="accent1" w:themeShade="BF"/>
    </w:rPr>
  </w:style>
  <w:style w:type="character" w:styleId="IntenseReference">
    <w:name w:val="Intense Reference"/>
    <w:basedOn w:val="DefaultParagraphFont"/>
    <w:uiPriority w:val="32"/>
    <w:qFormat/>
    <w:rsid w:val="009153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689241">
      <w:bodyDiv w:val="1"/>
      <w:marLeft w:val="0"/>
      <w:marRight w:val="0"/>
      <w:marTop w:val="0"/>
      <w:marBottom w:val="0"/>
      <w:divBdr>
        <w:top w:val="none" w:sz="0" w:space="0" w:color="auto"/>
        <w:left w:val="none" w:sz="0" w:space="0" w:color="auto"/>
        <w:bottom w:val="none" w:sz="0" w:space="0" w:color="auto"/>
        <w:right w:val="none" w:sz="0" w:space="0" w:color="auto"/>
      </w:divBdr>
      <w:divsChild>
        <w:div w:id="835457465">
          <w:marLeft w:val="0"/>
          <w:marRight w:val="0"/>
          <w:marTop w:val="0"/>
          <w:marBottom w:val="0"/>
          <w:divBdr>
            <w:top w:val="none" w:sz="0" w:space="0" w:color="auto"/>
            <w:left w:val="none" w:sz="0" w:space="0" w:color="auto"/>
            <w:bottom w:val="none" w:sz="0" w:space="0" w:color="auto"/>
            <w:right w:val="none" w:sz="0" w:space="0" w:color="auto"/>
          </w:divBdr>
        </w:div>
        <w:div w:id="59789844">
          <w:marLeft w:val="0"/>
          <w:marRight w:val="0"/>
          <w:marTop w:val="0"/>
          <w:marBottom w:val="0"/>
          <w:divBdr>
            <w:top w:val="none" w:sz="0" w:space="0" w:color="auto"/>
            <w:left w:val="none" w:sz="0" w:space="0" w:color="auto"/>
            <w:bottom w:val="none" w:sz="0" w:space="0" w:color="auto"/>
            <w:right w:val="none" w:sz="0" w:space="0" w:color="auto"/>
          </w:divBdr>
        </w:div>
        <w:div w:id="1231230223">
          <w:marLeft w:val="0"/>
          <w:marRight w:val="0"/>
          <w:marTop w:val="0"/>
          <w:marBottom w:val="0"/>
          <w:divBdr>
            <w:top w:val="none" w:sz="0" w:space="0" w:color="auto"/>
            <w:left w:val="none" w:sz="0" w:space="0" w:color="auto"/>
            <w:bottom w:val="none" w:sz="0" w:space="0" w:color="auto"/>
            <w:right w:val="none" w:sz="0" w:space="0" w:color="auto"/>
          </w:divBdr>
        </w:div>
        <w:div w:id="243879889">
          <w:marLeft w:val="0"/>
          <w:marRight w:val="0"/>
          <w:marTop w:val="0"/>
          <w:marBottom w:val="0"/>
          <w:divBdr>
            <w:top w:val="none" w:sz="0" w:space="0" w:color="auto"/>
            <w:left w:val="none" w:sz="0" w:space="0" w:color="auto"/>
            <w:bottom w:val="none" w:sz="0" w:space="0" w:color="auto"/>
            <w:right w:val="none" w:sz="0" w:space="0" w:color="auto"/>
          </w:divBdr>
        </w:div>
        <w:div w:id="1058474427">
          <w:marLeft w:val="0"/>
          <w:marRight w:val="0"/>
          <w:marTop w:val="0"/>
          <w:marBottom w:val="0"/>
          <w:divBdr>
            <w:top w:val="none" w:sz="0" w:space="0" w:color="auto"/>
            <w:left w:val="none" w:sz="0" w:space="0" w:color="auto"/>
            <w:bottom w:val="none" w:sz="0" w:space="0" w:color="auto"/>
            <w:right w:val="none" w:sz="0" w:space="0" w:color="auto"/>
          </w:divBdr>
        </w:div>
        <w:div w:id="1128278177">
          <w:marLeft w:val="0"/>
          <w:marRight w:val="0"/>
          <w:marTop w:val="0"/>
          <w:marBottom w:val="0"/>
          <w:divBdr>
            <w:top w:val="none" w:sz="0" w:space="0" w:color="auto"/>
            <w:left w:val="none" w:sz="0" w:space="0" w:color="auto"/>
            <w:bottom w:val="none" w:sz="0" w:space="0" w:color="auto"/>
            <w:right w:val="none" w:sz="0" w:space="0" w:color="auto"/>
          </w:divBdr>
        </w:div>
      </w:divsChild>
    </w:div>
    <w:div w:id="2045052597">
      <w:bodyDiv w:val="1"/>
      <w:marLeft w:val="0"/>
      <w:marRight w:val="0"/>
      <w:marTop w:val="0"/>
      <w:marBottom w:val="0"/>
      <w:divBdr>
        <w:top w:val="none" w:sz="0" w:space="0" w:color="auto"/>
        <w:left w:val="none" w:sz="0" w:space="0" w:color="auto"/>
        <w:bottom w:val="none" w:sz="0" w:space="0" w:color="auto"/>
        <w:right w:val="none" w:sz="0" w:space="0" w:color="auto"/>
      </w:divBdr>
      <w:divsChild>
        <w:div w:id="1673753220">
          <w:marLeft w:val="0"/>
          <w:marRight w:val="0"/>
          <w:marTop w:val="0"/>
          <w:marBottom w:val="0"/>
          <w:divBdr>
            <w:top w:val="none" w:sz="0" w:space="0" w:color="auto"/>
            <w:left w:val="none" w:sz="0" w:space="0" w:color="auto"/>
            <w:bottom w:val="none" w:sz="0" w:space="0" w:color="auto"/>
            <w:right w:val="none" w:sz="0" w:space="0" w:color="auto"/>
          </w:divBdr>
        </w:div>
        <w:div w:id="1595474100">
          <w:marLeft w:val="0"/>
          <w:marRight w:val="0"/>
          <w:marTop w:val="0"/>
          <w:marBottom w:val="0"/>
          <w:divBdr>
            <w:top w:val="none" w:sz="0" w:space="0" w:color="auto"/>
            <w:left w:val="none" w:sz="0" w:space="0" w:color="auto"/>
            <w:bottom w:val="none" w:sz="0" w:space="0" w:color="auto"/>
            <w:right w:val="none" w:sz="0" w:space="0" w:color="auto"/>
          </w:divBdr>
        </w:div>
        <w:div w:id="659848693">
          <w:marLeft w:val="0"/>
          <w:marRight w:val="0"/>
          <w:marTop w:val="0"/>
          <w:marBottom w:val="0"/>
          <w:divBdr>
            <w:top w:val="none" w:sz="0" w:space="0" w:color="auto"/>
            <w:left w:val="none" w:sz="0" w:space="0" w:color="auto"/>
            <w:bottom w:val="none" w:sz="0" w:space="0" w:color="auto"/>
            <w:right w:val="none" w:sz="0" w:space="0" w:color="auto"/>
          </w:divBdr>
        </w:div>
        <w:div w:id="17900280">
          <w:marLeft w:val="0"/>
          <w:marRight w:val="0"/>
          <w:marTop w:val="0"/>
          <w:marBottom w:val="0"/>
          <w:divBdr>
            <w:top w:val="none" w:sz="0" w:space="0" w:color="auto"/>
            <w:left w:val="none" w:sz="0" w:space="0" w:color="auto"/>
            <w:bottom w:val="none" w:sz="0" w:space="0" w:color="auto"/>
            <w:right w:val="none" w:sz="0" w:space="0" w:color="auto"/>
          </w:divBdr>
        </w:div>
        <w:div w:id="67192536">
          <w:marLeft w:val="0"/>
          <w:marRight w:val="0"/>
          <w:marTop w:val="0"/>
          <w:marBottom w:val="0"/>
          <w:divBdr>
            <w:top w:val="none" w:sz="0" w:space="0" w:color="auto"/>
            <w:left w:val="none" w:sz="0" w:space="0" w:color="auto"/>
            <w:bottom w:val="none" w:sz="0" w:space="0" w:color="auto"/>
            <w:right w:val="none" w:sz="0" w:space="0" w:color="auto"/>
          </w:divBdr>
        </w:div>
        <w:div w:id="1143042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Sharma</dc:creator>
  <cp:keywords/>
  <dc:description/>
  <cp:lastModifiedBy>Rohit Sharma</cp:lastModifiedBy>
  <cp:revision>1</cp:revision>
  <dcterms:created xsi:type="dcterms:W3CDTF">2025-02-25T02:26:00Z</dcterms:created>
  <dcterms:modified xsi:type="dcterms:W3CDTF">2025-02-25T02:41:00Z</dcterms:modified>
</cp:coreProperties>
</file>