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E1A9" w14:textId="77777777" w:rsidR="00EA4908" w:rsidRPr="00EA4908" w:rsidRDefault="00EA4908" w:rsidP="00EA4908">
      <w:pPr>
        <w:pStyle w:val="Heading1"/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UK TAX &amp; REGULATORY COMPLIANCE REPORT</w:t>
      </w:r>
    </w:p>
    <w:p w14:paraId="3BCCDF38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Last Updated: February 25th, 2025</w:t>
      </w:r>
    </w:p>
    <w:p w14:paraId="3D9C447B" w14:textId="73F30CFC" w:rsidR="00EA4908" w:rsidRPr="00EA4908" w:rsidRDefault="00EA4908" w:rsidP="00EA4908">
      <w:pPr>
        <w:rPr>
          <w:rFonts w:ascii="Times New Roman" w:hAnsi="Times New Roman" w:cs="Times New Roman"/>
        </w:rPr>
      </w:pPr>
    </w:p>
    <w:p w14:paraId="2EFBF40F" w14:textId="77777777" w:rsidR="00EA4908" w:rsidRPr="00EA4908" w:rsidRDefault="00EA4908" w:rsidP="00EA4908">
      <w:pPr>
        <w:pStyle w:val="Heading2"/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1. INTRODUCTION</w:t>
      </w:r>
    </w:p>
    <w:p w14:paraId="12CEA0F8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This report outlines the UK tax obligations and regulatory compliance requirements applicable to MAGIC WORLD LTD in relation to its blockchain-based digital assets, token issuance, and gaming ecosystem. The objective is to ensure full compliance with HM Revenue &amp; Customs (HMRC) regulations, UK Financial Conduct Authority (FCA) guidelines, and anti-money laundering (AML) laws.</w:t>
      </w:r>
    </w:p>
    <w:p w14:paraId="1C020271" w14:textId="6AD47756" w:rsidR="00EA4908" w:rsidRPr="00EA4908" w:rsidRDefault="00EA4908" w:rsidP="00EA4908">
      <w:pPr>
        <w:rPr>
          <w:rFonts w:ascii="Times New Roman" w:hAnsi="Times New Roman" w:cs="Times New Roman"/>
        </w:rPr>
      </w:pPr>
    </w:p>
    <w:p w14:paraId="1424734F" w14:textId="77777777" w:rsidR="00EA4908" w:rsidRPr="00EA4908" w:rsidRDefault="00EA4908" w:rsidP="00EA4908">
      <w:pPr>
        <w:pStyle w:val="Heading2"/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2. LEGAL FRAMEWORK &amp; REGULATORY GUIDANCE</w:t>
      </w:r>
    </w:p>
    <w:p w14:paraId="55685166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The taxation and regulatory compliance of blockchain-based assets in the UK are governed by:</w:t>
      </w:r>
    </w:p>
    <w:p w14:paraId="1E079CA2" w14:textId="77777777" w:rsidR="00EA4908" w:rsidRPr="00EA4908" w:rsidRDefault="00EA4908" w:rsidP="00EA490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 xml:space="preserve">HMRC </w:t>
      </w:r>
      <w:proofErr w:type="spellStart"/>
      <w:r w:rsidRPr="00EA4908">
        <w:rPr>
          <w:rFonts w:ascii="Times New Roman" w:hAnsi="Times New Roman" w:cs="Times New Roman"/>
        </w:rPr>
        <w:t>Cryptoassets</w:t>
      </w:r>
      <w:proofErr w:type="spellEnd"/>
      <w:r w:rsidRPr="00EA4908">
        <w:rPr>
          <w:rFonts w:ascii="Times New Roman" w:hAnsi="Times New Roman" w:cs="Times New Roman"/>
        </w:rPr>
        <w:t xml:space="preserve"> Manual (2021-2024 Updates)</w:t>
      </w:r>
    </w:p>
    <w:p w14:paraId="2510BFE1" w14:textId="77777777" w:rsidR="00EA4908" w:rsidRPr="00EA4908" w:rsidRDefault="00EA4908" w:rsidP="00EA490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 xml:space="preserve">UK Financial Conduct Authority (FCA) Guidance on </w:t>
      </w:r>
      <w:proofErr w:type="spellStart"/>
      <w:r w:rsidRPr="00EA4908">
        <w:rPr>
          <w:rFonts w:ascii="Times New Roman" w:hAnsi="Times New Roman" w:cs="Times New Roman"/>
        </w:rPr>
        <w:t>Cryptoassets</w:t>
      </w:r>
      <w:proofErr w:type="spellEnd"/>
      <w:r w:rsidRPr="00EA4908">
        <w:rPr>
          <w:rFonts w:ascii="Times New Roman" w:hAnsi="Times New Roman" w:cs="Times New Roman"/>
        </w:rPr>
        <w:t xml:space="preserve"> (PS19/22)</w:t>
      </w:r>
    </w:p>
    <w:p w14:paraId="0E9DEA17" w14:textId="77777777" w:rsidR="00EA4908" w:rsidRPr="00EA4908" w:rsidRDefault="00EA4908" w:rsidP="00EA490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UK Money Laundering Regulations (MLR 2017 &amp; 2019 Update)</w:t>
      </w:r>
    </w:p>
    <w:p w14:paraId="5B2A358B" w14:textId="77777777" w:rsidR="00EA4908" w:rsidRPr="00EA4908" w:rsidRDefault="00EA4908" w:rsidP="00EA490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Financial Services and Markets Act 2000 (FSMA)</w:t>
      </w:r>
    </w:p>
    <w:p w14:paraId="7D54F061" w14:textId="77777777" w:rsidR="00EA4908" w:rsidRPr="00EA4908" w:rsidRDefault="00EA4908" w:rsidP="00EA490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UK General Data Protection Regulation (UK GDPR)</w:t>
      </w:r>
    </w:p>
    <w:p w14:paraId="3E96C61B" w14:textId="77777777" w:rsidR="00EA4908" w:rsidRPr="00EA4908" w:rsidRDefault="00EA4908" w:rsidP="00EA490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Companies Act 2006</w:t>
      </w:r>
    </w:p>
    <w:p w14:paraId="393ABFDE" w14:textId="123087BF" w:rsidR="00EA4908" w:rsidRPr="00EA4908" w:rsidRDefault="00EA4908" w:rsidP="00EA4908">
      <w:pPr>
        <w:rPr>
          <w:rFonts w:ascii="Times New Roman" w:hAnsi="Times New Roman" w:cs="Times New Roman"/>
        </w:rPr>
      </w:pPr>
    </w:p>
    <w:p w14:paraId="1DDF7B1F" w14:textId="77777777" w:rsidR="00EA4908" w:rsidRPr="00EA4908" w:rsidRDefault="00EA4908" w:rsidP="00EA4908">
      <w:pPr>
        <w:pStyle w:val="Heading2"/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3. TAXATION FRAMEWORK FOR DIGITAL ASSETS</w:t>
      </w:r>
    </w:p>
    <w:p w14:paraId="21831514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3.1 Corporate Tax Implications</w:t>
      </w:r>
    </w:p>
    <w:p w14:paraId="3CCC5850" w14:textId="77777777" w:rsidR="00EA4908" w:rsidRPr="00EA4908" w:rsidRDefault="00EA4908" w:rsidP="00EA490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Token Sales &amp; Revenue: MAGIC WORLD LTD is subject to corporation tax (19-25%) on profits from token sales and platform revenue.</w:t>
      </w:r>
    </w:p>
    <w:p w14:paraId="0664C9CF" w14:textId="77777777" w:rsidR="00EA4908" w:rsidRPr="00EA4908" w:rsidRDefault="00EA4908" w:rsidP="00EA490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NFT &amp; Digital Asset Sales: Income generated from the sale of NFTs or virtual assets is taxable as business income.</w:t>
      </w:r>
    </w:p>
    <w:p w14:paraId="4A08A37B" w14:textId="4EA02955" w:rsidR="00EA4908" w:rsidRPr="00EA4908" w:rsidRDefault="00EA4908" w:rsidP="00EA490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Capital Gains Tax (CGT): If MAGIC WORLD holds digital assets and sells them at a profit, CGT may apply at 10-20%, depending on taxable profits.</w:t>
      </w:r>
    </w:p>
    <w:p w14:paraId="5E606AAE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3.2 VAT Considerations</w:t>
      </w:r>
    </w:p>
    <w:p w14:paraId="33E97053" w14:textId="77777777" w:rsidR="00EA4908" w:rsidRPr="00EA4908" w:rsidRDefault="00EA4908" w:rsidP="00EA490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Utility Token Transactions: Typically exempt from VAT under HMRC guidelines.</w:t>
      </w:r>
    </w:p>
    <w:p w14:paraId="1D86F533" w14:textId="77777777" w:rsidR="00EA4908" w:rsidRPr="00EA4908" w:rsidRDefault="00EA4908" w:rsidP="00EA490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NFT Sales &amp; In-Game Purchases: If classified as digital services, VAT at 20% may apply.</w:t>
      </w:r>
    </w:p>
    <w:p w14:paraId="5D795F38" w14:textId="77777777" w:rsidR="00EA4908" w:rsidRPr="00EA4908" w:rsidRDefault="00EA4908" w:rsidP="00EA49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Cross-Border Transactions: VAT obligations may arise if tokens or digital assets are sold to consumers outside the UK.</w:t>
      </w:r>
    </w:p>
    <w:p w14:paraId="1446E24E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3.3 Income Tax for Token Holders</w:t>
      </w:r>
    </w:p>
    <w:p w14:paraId="3F7F9759" w14:textId="3D8A03C6" w:rsidR="00EA4908" w:rsidRPr="00EA4908" w:rsidRDefault="00EA4908" w:rsidP="00EA49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Token Rewards &amp; Staking Income: Users earning tokens as rewards, staking yields, or airdrops may be subject to income tax (20-45%)</w:t>
      </w:r>
      <w:r w:rsidRPr="00EA4908">
        <w:rPr>
          <w:rFonts w:ascii="Times New Roman" w:hAnsi="Times New Roman" w:cs="Times New Roman"/>
        </w:rPr>
        <w:t>.</w:t>
      </w:r>
    </w:p>
    <w:p w14:paraId="70A5C172" w14:textId="77777777" w:rsidR="00EA4908" w:rsidRPr="00EA4908" w:rsidRDefault="00EA4908" w:rsidP="00EA49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Employee Compensation in Tokens: If employees receive tokens as part of their salary, PAYE tax and National Insurance Contributions (NICs) apply.</w:t>
      </w:r>
    </w:p>
    <w:p w14:paraId="21FB3338" w14:textId="75888A5A" w:rsidR="00EA4908" w:rsidRPr="00EA4908" w:rsidRDefault="00EA4908" w:rsidP="00EA4908">
      <w:pPr>
        <w:rPr>
          <w:rFonts w:ascii="Times New Roman" w:hAnsi="Times New Roman" w:cs="Times New Roman"/>
        </w:rPr>
      </w:pPr>
    </w:p>
    <w:p w14:paraId="3CE8A81C" w14:textId="77777777" w:rsidR="00EA4908" w:rsidRPr="00EA4908" w:rsidRDefault="00EA4908" w:rsidP="00EA4908">
      <w:pPr>
        <w:pStyle w:val="Heading2"/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4. REGULATORY COMPLIANCE OBLIGATIONS</w:t>
      </w:r>
    </w:p>
    <w:p w14:paraId="44861FED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4.1 FCA Registration Requirements</w:t>
      </w:r>
    </w:p>
    <w:p w14:paraId="68839432" w14:textId="77777777" w:rsidR="00EA4908" w:rsidRPr="00EA4908" w:rsidRDefault="00EA4908" w:rsidP="00EA49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MAGIC WORLD LTD does not require FCA authorization if tokens are classified as utility tokens and do not constitute securities.</w:t>
      </w:r>
    </w:p>
    <w:p w14:paraId="1AD93ED9" w14:textId="77777777" w:rsidR="00EA4908" w:rsidRPr="00EA4908" w:rsidRDefault="00EA4908" w:rsidP="00EA49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If future token functionalities include staking, lending, or financial returns, an FCA registration under FSMA may be required.</w:t>
      </w:r>
    </w:p>
    <w:p w14:paraId="1B4CC7E7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4.2 AML &amp; KYC Compliance</w:t>
      </w:r>
    </w:p>
    <w:p w14:paraId="6B9D9DD1" w14:textId="77777777" w:rsidR="00EA4908" w:rsidRPr="00EA4908" w:rsidRDefault="00EA4908" w:rsidP="00EA49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AML/KYC Obligations: Companies facilitating token sales and digital asset exchanges must comply with the UK Money Laundering Regulations (MLR 2017 &amp; 2019 Update).</w:t>
      </w:r>
    </w:p>
    <w:p w14:paraId="18BC3DE9" w14:textId="77777777" w:rsidR="00EA4908" w:rsidRPr="00EA4908" w:rsidRDefault="00EA4908" w:rsidP="00EA49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Customer Due Diligence (CDD): Required for transactions above £1,000.</w:t>
      </w:r>
    </w:p>
    <w:p w14:paraId="089FC52D" w14:textId="77777777" w:rsidR="00EA4908" w:rsidRPr="00EA4908" w:rsidRDefault="00EA4908" w:rsidP="00EA49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Suspicious Activity Reports (SARs): Must be filed with the National Crime Agency (NCA) for suspected fraud or illicit activities.</w:t>
      </w:r>
    </w:p>
    <w:p w14:paraId="745C054B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4.3 UK GDPR &amp; Data Protection Compliance</w:t>
      </w:r>
    </w:p>
    <w:p w14:paraId="0944060F" w14:textId="77777777" w:rsidR="00EA4908" w:rsidRPr="00EA4908" w:rsidRDefault="00EA4908" w:rsidP="00EA49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Data Handling &amp; User Privacy: Personal data related to token holders must comply with UK GDPR.</w:t>
      </w:r>
    </w:p>
    <w:p w14:paraId="11A93203" w14:textId="77777777" w:rsidR="00EA4908" w:rsidRPr="00EA4908" w:rsidRDefault="00EA4908" w:rsidP="00EA49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Right to Be Forgotten: Due to blockchain immutability, alternative solutions (e.g., off-chain storage) must be explored.</w:t>
      </w:r>
    </w:p>
    <w:p w14:paraId="22F05849" w14:textId="5701A7A0" w:rsidR="00EA4908" w:rsidRPr="00EA4908" w:rsidRDefault="00EA4908" w:rsidP="00EA4908">
      <w:pPr>
        <w:rPr>
          <w:rFonts w:ascii="Times New Roman" w:hAnsi="Times New Roman" w:cs="Times New Roman"/>
        </w:rPr>
      </w:pPr>
    </w:p>
    <w:p w14:paraId="7977AF06" w14:textId="77777777" w:rsidR="00EA4908" w:rsidRPr="00EA4908" w:rsidRDefault="00EA4908" w:rsidP="00EA4908">
      <w:pPr>
        <w:pStyle w:val="Heading2"/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5. RISK ASSESSMENT &amp; MITIGATION STRATEGIES</w:t>
      </w:r>
    </w:p>
    <w:p w14:paraId="7F827675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5.1 Identified Risks</w:t>
      </w:r>
    </w:p>
    <w:p w14:paraId="4B075B51" w14:textId="77777777" w:rsidR="00EA4908" w:rsidRPr="00EA4908" w:rsidRDefault="00EA4908" w:rsidP="00EA49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Regulatory Uncertainty: Changes in UK crypto regulations may introduce additional compliance requirements.</w:t>
      </w:r>
    </w:p>
    <w:p w14:paraId="74471328" w14:textId="77777777" w:rsidR="00EA4908" w:rsidRPr="00EA4908" w:rsidRDefault="00EA4908" w:rsidP="00EA49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Tax Liabilities: Unclear taxation policies on new blockchain use cases may pose risks to MAGIC WORLD.</w:t>
      </w:r>
    </w:p>
    <w:p w14:paraId="65B6D27A" w14:textId="77777777" w:rsidR="00EA4908" w:rsidRPr="00EA4908" w:rsidRDefault="00EA4908" w:rsidP="00EA49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AML &amp; Fraud Risks: The risk of money laundering and fraudulent transactions requires robust monitoring mechanisms.</w:t>
      </w:r>
    </w:p>
    <w:p w14:paraId="31B5705B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5.2 Recommended Compliance Measures</w:t>
      </w:r>
    </w:p>
    <w:p w14:paraId="18A42B54" w14:textId="77777777" w:rsidR="00EA4908" w:rsidRPr="00EA4908" w:rsidRDefault="00EA4908" w:rsidP="00EA49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Ongoing Legal &amp; Regulatory Monitoring – Regularly track FCA, HMRC, and international crypto regulations.</w:t>
      </w:r>
    </w:p>
    <w:p w14:paraId="6D1EE7F1" w14:textId="77777777" w:rsidR="00EA4908" w:rsidRPr="00EA4908" w:rsidRDefault="00EA4908" w:rsidP="00EA49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Tax Compliance Strategies – Work with certified tax professionals to ensure accurate filings.</w:t>
      </w:r>
    </w:p>
    <w:p w14:paraId="55B4EBC1" w14:textId="77777777" w:rsidR="00EA4908" w:rsidRPr="00EA4908" w:rsidRDefault="00EA4908" w:rsidP="00EA49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AML &amp; Fraud Prevention Tools – Implement AI-driven transaction monitoring for risk detection.</w:t>
      </w:r>
    </w:p>
    <w:p w14:paraId="18C537D6" w14:textId="77777777" w:rsidR="00EA4908" w:rsidRPr="00EA4908" w:rsidRDefault="00EA4908" w:rsidP="00EA49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UK GDPR Best Practices – Develop blockchain-compatible data protection policies.</w:t>
      </w:r>
    </w:p>
    <w:p w14:paraId="60FBD5B8" w14:textId="5798CF01" w:rsidR="00EA4908" w:rsidRPr="00EA4908" w:rsidRDefault="00EA4908" w:rsidP="00EA4908">
      <w:pPr>
        <w:rPr>
          <w:rFonts w:ascii="Times New Roman" w:hAnsi="Times New Roman" w:cs="Times New Roman"/>
        </w:rPr>
      </w:pPr>
    </w:p>
    <w:p w14:paraId="3842F0E6" w14:textId="77777777" w:rsidR="00EA4908" w:rsidRPr="00EA4908" w:rsidRDefault="00EA4908" w:rsidP="00EA4908">
      <w:pPr>
        <w:pStyle w:val="Heading2"/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6. CONCLUSION &amp; NEXT STEPS</w:t>
      </w:r>
    </w:p>
    <w:p w14:paraId="7B208776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MAGIC WORLD LTD complies with UK tax and regulatory requirements but must maintain ongoing monitoring of FCA guidelines, AML laws, and tax obligations to ensure continued compliance.</w:t>
      </w:r>
    </w:p>
    <w:p w14:paraId="29F9A6E4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Next Steps:</w:t>
      </w:r>
    </w:p>
    <w:p w14:paraId="69843764" w14:textId="77777777" w:rsidR="00EA4908" w:rsidRPr="00EA4908" w:rsidRDefault="00EA4908" w:rsidP="00EA49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Conduct an annual tax compliance review.</w:t>
      </w:r>
    </w:p>
    <w:p w14:paraId="104DEADF" w14:textId="77777777" w:rsidR="00EA4908" w:rsidRPr="00EA4908" w:rsidRDefault="00EA4908" w:rsidP="00EA49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Ensure token classification remains within HMRC and FCA guidelines.</w:t>
      </w:r>
    </w:p>
    <w:p w14:paraId="183823F0" w14:textId="77777777" w:rsidR="00EA4908" w:rsidRPr="00EA4908" w:rsidRDefault="00EA4908" w:rsidP="00EA49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Enhance AML/KYC processes in line with UK Money Laundering Regulations.</w:t>
      </w:r>
    </w:p>
    <w:p w14:paraId="3CC76722" w14:textId="77777777" w:rsidR="00EA4908" w:rsidRPr="00EA4908" w:rsidRDefault="00EA4908" w:rsidP="00EA49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>Maintain GDPR-compliant data practices.</w:t>
      </w:r>
    </w:p>
    <w:p w14:paraId="48CC5EFD" w14:textId="77777777" w:rsidR="00EA4908" w:rsidRPr="00EA4908" w:rsidRDefault="00EA4908" w:rsidP="00EA4908">
      <w:pPr>
        <w:rPr>
          <w:rFonts w:ascii="Times New Roman" w:hAnsi="Times New Roman" w:cs="Times New Roman"/>
        </w:rPr>
      </w:pPr>
      <w:r w:rsidRPr="00EA4908">
        <w:rPr>
          <w:rFonts w:ascii="Times New Roman" w:hAnsi="Times New Roman" w:cs="Times New Roman"/>
        </w:rPr>
        <w:t xml:space="preserve">For further legal inquiries, contact </w:t>
      </w:r>
      <w:r w:rsidRPr="00EA4908">
        <w:rPr>
          <w:rFonts w:ascii="Times New Roman" w:hAnsi="Times New Roman" w:cs="Times New Roman"/>
          <w:highlight w:val="yellow"/>
        </w:rPr>
        <w:t>support@magicworld.com</w:t>
      </w:r>
      <w:r w:rsidRPr="00EA4908">
        <w:rPr>
          <w:rFonts w:ascii="Times New Roman" w:hAnsi="Times New Roman" w:cs="Times New Roman"/>
        </w:rPr>
        <w:t>.</w:t>
      </w:r>
    </w:p>
    <w:p w14:paraId="4CE1F0A4" w14:textId="77777777" w:rsidR="00EA4908" w:rsidRPr="00EA4908" w:rsidRDefault="00EA4908" w:rsidP="00EA4908">
      <w:pPr>
        <w:rPr>
          <w:rFonts w:ascii="Times New Roman" w:hAnsi="Times New Roman" w:cs="Times New Roman"/>
        </w:rPr>
      </w:pPr>
    </w:p>
    <w:sectPr w:rsidR="00EA4908" w:rsidRPr="00EA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C73"/>
    <w:multiLevelType w:val="multilevel"/>
    <w:tmpl w:val="BD5E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1EB5"/>
    <w:multiLevelType w:val="multilevel"/>
    <w:tmpl w:val="DC24CE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16802"/>
    <w:multiLevelType w:val="multilevel"/>
    <w:tmpl w:val="A97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C3821"/>
    <w:multiLevelType w:val="multilevel"/>
    <w:tmpl w:val="B21202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67261"/>
    <w:multiLevelType w:val="multilevel"/>
    <w:tmpl w:val="5EC8B7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93E65"/>
    <w:multiLevelType w:val="multilevel"/>
    <w:tmpl w:val="BB7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566F7"/>
    <w:multiLevelType w:val="multilevel"/>
    <w:tmpl w:val="B5D061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90E8E"/>
    <w:multiLevelType w:val="multilevel"/>
    <w:tmpl w:val="064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638BF"/>
    <w:multiLevelType w:val="multilevel"/>
    <w:tmpl w:val="92F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15644"/>
    <w:multiLevelType w:val="multilevel"/>
    <w:tmpl w:val="94CE42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87D99"/>
    <w:multiLevelType w:val="multilevel"/>
    <w:tmpl w:val="D6DE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B0070"/>
    <w:multiLevelType w:val="multilevel"/>
    <w:tmpl w:val="524CB4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8601C7"/>
    <w:multiLevelType w:val="multilevel"/>
    <w:tmpl w:val="B5D061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91DC8"/>
    <w:multiLevelType w:val="multilevel"/>
    <w:tmpl w:val="83A0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4752B"/>
    <w:multiLevelType w:val="multilevel"/>
    <w:tmpl w:val="82AE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15A44"/>
    <w:multiLevelType w:val="multilevel"/>
    <w:tmpl w:val="786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C7292"/>
    <w:multiLevelType w:val="multilevel"/>
    <w:tmpl w:val="49E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814BF"/>
    <w:multiLevelType w:val="multilevel"/>
    <w:tmpl w:val="B5D061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C14E5"/>
    <w:multiLevelType w:val="multilevel"/>
    <w:tmpl w:val="648E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899478">
    <w:abstractNumId w:val="15"/>
  </w:num>
  <w:num w:numId="2" w16cid:durableId="40515673">
    <w:abstractNumId w:val="7"/>
  </w:num>
  <w:num w:numId="3" w16cid:durableId="463233492">
    <w:abstractNumId w:val="16"/>
  </w:num>
  <w:num w:numId="4" w16cid:durableId="316884293">
    <w:abstractNumId w:val="12"/>
  </w:num>
  <w:num w:numId="5" w16cid:durableId="1561480708">
    <w:abstractNumId w:val="6"/>
  </w:num>
  <w:num w:numId="6" w16cid:durableId="1022244154">
    <w:abstractNumId w:val="8"/>
  </w:num>
  <w:num w:numId="7" w16cid:durableId="1530024300">
    <w:abstractNumId w:val="5"/>
  </w:num>
  <w:num w:numId="8" w16cid:durableId="1368146313">
    <w:abstractNumId w:val="13"/>
  </w:num>
  <w:num w:numId="9" w16cid:durableId="742144676">
    <w:abstractNumId w:val="14"/>
  </w:num>
  <w:num w:numId="10" w16cid:durableId="532302539">
    <w:abstractNumId w:val="2"/>
  </w:num>
  <w:num w:numId="11" w16cid:durableId="986857817">
    <w:abstractNumId w:val="10"/>
  </w:num>
  <w:num w:numId="12" w16cid:durableId="1776288309">
    <w:abstractNumId w:val="0"/>
  </w:num>
  <w:num w:numId="13" w16cid:durableId="357511366">
    <w:abstractNumId w:val="3"/>
  </w:num>
  <w:num w:numId="14" w16cid:durableId="157155401">
    <w:abstractNumId w:val="11"/>
  </w:num>
  <w:num w:numId="15" w16cid:durableId="1128472669">
    <w:abstractNumId w:val="1"/>
  </w:num>
  <w:num w:numId="16" w16cid:durableId="548616259">
    <w:abstractNumId w:val="17"/>
  </w:num>
  <w:num w:numId="17" w16cid:durableId="815486082">
    <w:abstractNumId w:val="9"/>
  </w:num>
  <w:num w:numId="18" w16cid:durableId="1255238443">
    <w:abstractNumId w:val="4"/>
  </w:num>
  <w:num w:numId="19" w16cid:durableId="14115356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08"/>
    <w:rsid w:val="00EA4908"/>
    <w:rsid w:val="00EC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154EB"/>
  <w15:chartTrackingRefBased/>
  <w15:docId w15:val="{26C06FEC-62F6-40FD-A9FC-B644AEE6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4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1</cp:revision>
  <dcterms:created xsi:type="dcterms:W3CDTF">2025-02-25T03:23:00Z</dcterms:created>
  <dcterms:modified xsi:type="dcterms:W3CDTF">2025-02-25T03:30:00Z</dcterms:modified>
</cp:coreProperties>
</file>