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neon-postgres-migration-guide"/>
    <w:p>
      <w:pPr>
        <w:pStyle w:val="Heading1"/>
      </w:pPr>
      <w:r>
        <w:t xml:space="preserve">Neon Postgres Migration Guide</w:t>
      </w:r>
    </w:p>
    <w:p>
      <w:pPr>
        <w:pStyle w:val="FirstParagraph"/>
      </w:pPr>
      <w:r>
        <w:t xml:space="preserve">This guide explains how to move the Solaris Health database to</w:t>
      </w:r>
      <w:r>
        <w:t xml:space="preserve"> </w:t>
      </w:r>
      <w:hyperlink r:id="rId20">
        <w:r>
          <w:rPr>
            <w:rStyle w:val="Hyperlink"/>
          </w:rPr>
          <w:t xml:space="preserve">Neon</w:t>
        </w:r>
      </w:hyperlink>
      <w:r>
        <w:t xml:space="preserve"> </w:t>
      </w:r>
      <w:r>
        <w:t xml:space="preserve">(serverless Postgres)</w:t>
      </w:r>
      <w:r>
        <w:t xml:space="preserve"> </w:t>
      </w:r>
      <w:r>
        <w:rPr>
          <w:bCs/>
          <w:b/>
        </w:rPr>
        <w:t xml:space="preserve">without changing any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code</w:t>
      </w:r>
      <w:r>
        <w:t xml:space="preserve">. The backend reads its connection string exclusively 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environment variable, so migrating providers is purely a</w:t>
      </w:r>
      <w:r>
        <w:t xml:space="preserve"> </w:t>
      </w:r>
      <w:r>
        <w:t xml:space="preserve">configuration change.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an optional portability path. The current production</w:t>
      </w:r>
      <w:r>
        <w:t xml:space="preserve"> </w:t>
      </w:r>
      <w:r>
        <w:t xml:space="preserve">deployment continues to run on its existing Postgres instance.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run these steps against the live database unless you are intentionally</w:t>
      </w:r>
      <w:r>
        <w:t xml:space="preserve"> </w:t>
      </w:r>
      <w:r>
        <w:t xml:space="preserve">cutting over to Neon.</w:t>
      </w:r>
    </w:p>
    <w:p>
      <w:r>
        <w:pict>
          <v:rect style="width:0;height:1.5pt" o:hralign="center" o:hrstd="t" o:hr="t"/>
        </w:pict>
      </w:r>
    </w:p>
    <w:bookmarkStart w:id="22" w:name="prerequisites"/>
    <w:p>
      <w:pPr>
        <w:pStyle w:val="Heading2"/>
      </w:pPr>
      <w:r>
        <w:t xml:space="preserve">1. Prerequisites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Neon account</w:t>
        </w:r>
      </w:hyperlink>
      <w:r>
        <w:t xml:space="preserve"> </w:t>
      </w:r>
      <w:r>
        <w:t xml:space="preserve">(free tier is sufficient to start).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pg_dump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psql</w:t>
      </w:r>
      <w:r>
        <w:t xml:space="preserve"> </w:t>
      </w:r>
      <w:r>
        <w:t xml:space="preserve">v15+ installed locally (matches the production</w:t>
      </w:r>
      <w:r>
        <w:t xml:space="preserve"> </w:t>
      </w:r>
      <w:r>
        <w:rPr>
          <w:rStyle w:val="VerbatimChar"/>
        </w:rPr>
        <w:t xml:space="preserve">postgres:15-alpine</w:t>
      </w:r>
      <w:r>
        <w:t xml:space="preserve"> </w:t>
      </w:r>
      <w:r>
        <w:t xml:space="preserve">image). Verify with</w:t>
      </w:r>
      <w:r>
        <w:t xml:space="preserve"> </w:t>
      </w:r>
      <w:r>
        <w:rPr>
          <w:rStyle w:val="VerbatimChar"/>
        </w:rPr>
        <w:t xml:space="preserve">psql --version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Access to the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(source) — never commit it.</w:t>
      </w:r>
    </w:p>
    <w:p>
      <w:r>
        <w:pict>
          <v:rect style="width:0;height:1.5pt" o:hralign="center" o:hrstd="t" o:hr="t"/>
        </w:pict>
      </w:r>
    </w:p>
    <w:bookmarkEnd w:id="22"/>
    <w:bookmarkStart w:id="23" w:name="create-a-neon-project"/>
    <w:p>
      <w:pPr>
        <w:pStyle w:val="Heading2"/>
      </w:pPr>
      <w:r>
        <w:t xml:space="preserve">2. Create a Neon project</w:t>
      </w:r>
    </w:p>
    <w:p>
      <w:pPr>
        <w:numPr>
          <w:ilvl w:val="0"/>
          <w:numId w:val="1002"/>
        </w:numPr>
      </w:pPr>
      <w:r>
        <w:t xml:space="preserve">Log in to the Neon console and click</w:t>
      </w:r>
      <w:r>
        <w:t xml:space="preserve"> </w:t>
      </w:r>
      <w:r>
        <w:rPr>
          <w:bCs/>
          <w:b/>
        </w:rPr>
        <w:t xml:space="preserve">New Project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Choose Postgres</w:t>
      </w:r>
      <w:r>
        <w:t xml:space="preserve"> </w:t>
      </w:r>
      <w:r>
        <w:rPr>
          <w:bCs/>
          <w:b/>
        </w:rPr>
        <w:t xml:space="preserve">15</w:t>
      </w:r>
      <w:r>
        <w:t xml:space="preserve"> </w:t>
      </w:r>
      <w:r>
        <w:t xml:space="preserve">to match the current major version.</w:t>
      </w:r>
    </w:p>
    <w:p>
      <w:pPr>
        <w:numPr>
          <w:ilvl w:val="0"/>
          <w:numId w:val="1002"/>
        </w:numPr>
      </w:pPr>
      <w:r>
        <w:t xml:space="preserve">Pick the region closest to where the backend is hosted (lowest latency).</w:t>
      </w:r>
    </w:p>
    <w:p>
      <w:pPr>
        <w:numPr>
          <w:ilvl w:val="0"/>
          <w:numId w:val="1002"/>
        </w:numPr>
      </w:pPr>
      <w:r>
        <w:t xml:space="preserve">After creation, open</w:t>
      </w:r>
      <w:r>
        <w:t xml:space="preserve"> </w:t>
      </w:r>
      <w:r>
        <w:rPr>
          <w:bCs/>
          <w:b/>
        </w:rPr>
        <w:t xml:space="preserve">Connection Details</w:t>
      </w:r>
      <w:r>
        <w:t xml:space="preserve"> </w:t>
      </w:r>
      <w:r>
        <w:t xml:space="preserve">and copy the pooled connection</w:t>
      </w:r>
      <w:r>
        <w:t xml:space="preserve"> </w:t>
      </w:r>
      <w:r>
        <w:t xml:space="preserve">string. It looks like: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postgresql://&lt;user&gt;:&lt;password&gt;@&lt;endpoint&gt;.neon.tech/&lt;db&gt;?sslmode=require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suffix is important — the backend’s DB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backend/src/db.js</w:t>
      </w:r>
      <w:r>
        <w:t xml:space="preserve">) automatically enables TLS when the connection string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(or when</w:t>
      </w:r>
      <w:r>
        <w:t xml:space="preserve"> </w:t>
      </w:r>
      <w:r>
        <w:rPr>
          <w:rStyle w:val="VerbatimChar"/>
        </w:rPr>
        <w:t xml:space="preserve">PGSSL=true</w:t>
      </w:r>
      <w:r>
        <w:t xml:space="preserve"> </w:t>
      </w:r>
      <w:r>
        <w:t xml:space="preserve">is set), so no code change</w:t>
      </w:r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bookmarkEnd w:id="23"/>
    <w:bookmarkStart w:id="24" w:name="dump-the-current-database"/>
    <w:p>
      <w:pPr>
        <w:pStyle w:val="Heading2"/>
      </w:pPr>
      <w:r>
        <w:t xml:space="preserve">3. Dump the current database</w:t>
      </w:r>
    </w:p>
    <w:p>
      <w:pPr>
        <w:pStyle w:val="FirstParagraph"/>
      </w:pPr>
      <w:r>
        <w:t xml:space="preserve">Export the full schema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data from the source database:</w:t>
      </w:r>
    </w:p>
    <w:p>
      <w:pPr>
        <w:pStyle w:val="SourceCode"/>
      </w:pPr>
      <w:r>
        <w:rPr>
          <w:rStyle w:val="CommentTok"/>
        </w:rPr>
        <w:t xml:space="preserve"># SOURCE_URL = the current production DATABASE_URL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$SOURCE_URL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solaris_dump.sql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--no-owner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--no-privileges</w:t>
      </w:r>
      <w:r>
        <w:t xml:space="preserve"> </w:t>
      </w:r>
      <w:r>
        <w:t xml:space="preserve">strip role/ownership statements so the dump</w:t>
      </w:r>
      <w:r>
        <w:t xml:space="preserve"> </w:t>
      </w:r>
      <w:r>
        <w:t xml:space="preserve">restores cleanly under Neon’s managed role.</w:t>
      </w:r>
    </w:p>
    <w:p>
      <w:pPr>
        <w:numPr>
          <w:ilvl w:val="0"/>
          <w:numId w:val="1003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--format=plain</w:t>
      </w:r>
      <w:r>
        <w:t xml:space="preserve"> </w:t>
      </w:r>
      <w:r>
        <w:t xml:space="preserve">for a portable, inspectable SQL file.</w:t>
      </w:r>
    </w:p>
    <w:p>
      <w:pPr>
        <w:pStyle w:val="FirstParagraph"/>
      </w:pPr>
      <w:r>
        <w:t xml:space="preserve">For a data-only or schema-only export (rarely needed), add</w:t>
      </w:r>
      <w:r>
        <w:t xml:space="preserve"> </w:t>
      </w:r>
      <w:r>
        <w:rPr>
          <w:rStyle w:val="VerbatimChar"/>
        </w:rPr>
        <w:t xml:space="preserve">--data-only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--schema-only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6" w:name="restore-into-neon"/>
    <w:p>
      <w:pPr>
        <w:pStyle w:val="Heading2"/>
      </w:pPr>
      <w:r>
        <w:t xml:space="preserve">4. Restore into Neon</w:t>
      </w:r>
    </w:p>
    <w:p>
      <w:pPr>
        <w:pStyle w:val="SourceCode"/>
      </w:pPr>
      <w:r>
        <w:rPr>
          <w:rStyle w:val="CommentTok"/>
        </w:rPr>
        <w:t xml:space="preserve"># NEON_URL = the Neon connection string from step 2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$NEON_URL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solaris_dump.sql</w:t>
      </w:r>
    </w:p>
    <w:p>
      <w:pPr>
        <w:pStyle w:val="FirstParagraph"/>
      </w:pPr>
      <w:r>
        <w:t xml:space="preserve">Watch the output for errors. Because the schema uses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and guarded inserts, re-running is safe.</w:t>
      </w:r>
    </w:p>
    <w:bookmarkStart w:id="25" w:name="verify-the-restore"/>
    <w:p>
      <w:pPr>
        <w:pStyle w:val="Heading3"/>
      </w:pPr>
      <w:r>
        <w:t xml:space="preserve">Verify the restore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$NEON_URL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list tables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$NEON_URL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users;"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$NEON_URL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version();"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confirm PG 15</w:t>
      </w:r>
    </w:p>
    <w:p>
      <w:pPr>
        <w:pStyle w:val="FirstParagraph"/>
      </w:pPr>
      <w:r>
        <w:t xml:space="preserve">You should see all application tables (users, bookings, health_documents,</w:t>
      </w:r>
      <w:r>
        <w:t xml:space="preserve"> </w:t>
      </w:r>
      <w:r>
        <w:t xml:space="preserve">wallet tables, messaging tables, marketplace tables, etc.) plus the</w:t>
      </w:r>
      <w:r>
        <w:t xml:space="preserve"> </w:t>
      </w:r>
      <w:r>
        <w:rPr>
          <w:rStyle w:val="VerbatimChar"/>
        </w:rPr>
        <w:t xml:space="preserve">pgmigrations</w:t>
      </w:r>
      <w:r>
        <w:t xml:space="preserve"> </w:t>
      </w:r>
      <w:r>
        <w:t xml:space="preserve">bookkeeping table used by node-pg-migrate.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oint-the-app-at-neon"/>
    <w:p>
      <w:pPr>
        <w:pStyle w:val="Heading2"/>
      </w:pPr>
      <w:r>
        <w:t xml:space="preserve">5. Point the app at Neon</w:t>
      </w:r>
    </w:p>
    <w:p>
      <w:pPr>
        <w:pStyle w:val="FirstParagraph"/>
      </w:pPr>
      <w:r>
        <w:t xml:space="preserve">Update 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environment variable in your hosting provider — the</w:t>
      </w:r>
      <w:r>
        <w:t xml:space="preserve"> </w:t>
      </w:r>
      <w:r>
        <w:t xml:space="preserve">application requires</w:t>
      </w:r>
      <w:r>
        <w:t xml:space="preserve"> </w:t>
      </w:r>
      <w:r>
        <w:rPr>
          <w:bCs/>
          <w:b/>
        </w:rPr>
        <w:t xml:space="preserve">no code change</w:t>
      </w:r>
      <w:r>
        <w:t xml:space="preserve">.</w:t>
      </w:r>
    </w:p>
    <w:bookmarkStart w:id="27" w:name="railway"/>
    <w:p>
      <w:pPr>
        <w:pStyle w:val="Heading3"/>
      </w:pPr>
      <w:r>
        <w:t xml:space="preserve">Railway</w:t>
      </w:r>
    </w:p>
    <w:p>
      <w:pPr>
        <w:numPr>
          <w:ilvl w:val="0"/>
          <w:numId w:val="1004"/>
        </w:numPr>
        <w:pStyle w:val="Compact"/>
      </w:pPr>
      <w:r>
        <w:t xml:space="preserve">Project →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→ 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to the Neon string.</w:t>
      </w:r>
    </w:p>
    <w:p>
      <w:pPr>
        <w:numPr>
          <w:ilvl w:val="0"/>
          <w:numId w:val="1004"/>
        </w:numPr>
        <w:pStyle w:val="Compact"/>
      </w:pPr>
      <w:r>
        <w:t xml:space="preserve">Redeploy (Railway auto-redeploys on variable change).</w:t>
      </w:r>
    </w:p>
    <w:bookmarkEnd w:id="27"/>
    <w:bookmarkStart w:id="28" w:name="render"/>
    <w:p>
      <w:pPr>
        <w:pStyle w:val="Heading3"/>
      </w:pPr>
      <w:r>
        <w:t xml:space="preserve">Render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render.yaml</w:t>
      </w:r>
      <w:r>
        <w:t xml:space="preserve"> </w:t>
      </w:r>
      <w:r>
        <w:t xml:space="preserve">provisions a managed</w:t>
      </w:r>
      <w:r>
        <w:t xml:space="preserve"> </w:t>
      </w:r>
      <w:r>
        <w:rPr>
          <w:rStyle w:val="VerbatimChar"/>
        </w:rPr>
        <w:t xml:space="preserve">solaris-db</w:t>
      </w:r>
      <w:r>
        <w:t xml:space="preserve"> </w:t>
      </w:r>
      <w:r>
        <w:t xml:space="preserve">by default. To use Neon</w:t>
      </w:r>
      <w:r>
        <w:t xml:space="preserve"> </w:t>
      </w:r>
      <w:r>
        <w:t xml:space="preserve">instead, remove/override the</w:t>
      </w:r>
      <w:r>
        <w:t xml:space="preserve"> </w:t>
      </w:r>
      <w:r>
        <w:rPr>
          <w:rStyle w:val="VerbatimChar"/>
        </w:rPr>
        <w:t xml:space="preserve">fromDatabase</w:t>
      </w:r>
      <w:r>
        <w:t xml:space="preserve"> </w:t>
      </w:r>
      <w:r>
        <w:t xml:space="preserve">reference for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t xml:space="preserve">the dashboard and paste the Neon string as a plain env var, then redeploy.</w:t>
      </w:r>
    </w:p>
    <w:bookmarkEnd w:id="28"/>
    <w:bookmarkStart w:id="29" w:name="heroku"/>
    <w:p>
      <w:pPr>
        <w:pStyle w:val="Heading3"/>
      </w:pPr>
      <w:r>
        <w:t xml:space="preserve">Heroku</w:t>
      </w:r>
    </w:p>
    <w:p>
      <w:pPr>
        <w:pStyle w:val="SourceCode"/>
      </w:pPr>
      <w:r>
        <w:rPr>
          <w:rStyle w:val="ExtensionTok"/>
        </w:rPr>
        <w:t xml:space="preserve">heroku</w:t>
      </w:r>
      <w:r>
        <w:rPr>
          <w:rStyle w:val="NormalTok"/>
        </w:rPr>
        <w:t xml:space="preserve"> config:set DATABASE_URL=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$NEON_URL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your-app</w:t>
      </w:r>
      <w:r>
        <w:rPr>
          <w:rStyle w:val="OperatorTok"/>
        </w:rPr>
        <w:t xml:space="preserve">&gt;</w:t>
      </w:r>
    </w:p>
    <w:bookmarkEnd w:id="29"/>
    <w:bookmarkStart w:id="30" w:name="docker-self-hosted"/>
    <w:p>
      <w:pPr>
        <w:pStyle w:val="Heading3"/>
      </w:pPr>
      <w:r>
        <w:t xml:space="preserve">Docker / self-hosted</w:t>
      </w:r>
    </w:p>
    <w:p>
      <w:pPr>
        <w:numPr>
          <w:ilvl w:val="0"/>
          <w:numId w:val="1006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PGSSL=true</w:t>
      </w:r>
      <w:r>
        <w:t xml:space="preserve">) in the container</w:t>
      </w:r>
      <w:r>
        <w:t xml:space="preserve"> </w:t>
      </w:r>
      <w:r>
        <w:t xml:space="preserve">environment. Remove the bundled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service from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if you no longer need the local DB.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un-migrations-against-neon-optional"/>
    <w:p>
      <w:pPr>
        <w:pStyle w:val="Heading2"/>
      </w:pPr>
      <w:r>
        <w:t xml:space="preserve">6. Run migrations against Neon (optional)</w:t>
      </w:r>
    </w:p>
    <w:p>
      <w:pPr>
        <w:pStyle w:val="FirstParagraph"/>
      </w:pPr>
      <w:r>
        <w:t xml:space="preserve">The backend runs</w:t>
      </w:r>
      <w:r>
        <w:t xml:space="preserve"> </w:t>
      </w:r>
      <w:r>
        <w:rPr>
          <w:rStyle w:val="VerbatimChar"/>
        </w:rPr>
        <w:t xml:space="preserve">npm run migrate</w:t>
      </w:r>
      <w:r>
        <w:t xml:space="preserve"> </w:t>
      </w:r>
      <w:r>
        <w:t xml:space="preserve">automatically on startup, so migrations are</w:t>
      </w:r>
      <w:r>
        <w:t xml:space="preserve"> </w:t>
      </w:r>
      <w:r>
        <w:t xml:space="preserve">applied on first boot. To pre-apply them manually: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$NEON_URL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</w:p>
    <w:p>
      <w:pPr>
        <w:pStyle w:val="FirstParagraph"/>
      </w:pPr>
      <w:r>
        <w:rPr>
          <w:rStyle w:val="VerbatimChar"/>
        </w:rPr>
        <w:t xml:space="preserve">node-pg-migrate</w:t>
      </w:r>
      <w:r>
        <w:t xml:space="preserve"> </w:t>
      </w:r>
      <w:r>
        <w:t xml:space="preserve">records applied migrations in the</w:t>
      </w:r>
      <w:r>
        <w:t xml:space="preserve"> </w:t>
      </w:r>
      <w:r>
        <w:rPr>
          <w:rStyle w:val="VerbatimChar"/>
        </w:rPr>
        <w:t xml:space="preserve">pgmigrations</w:t>
      </w:r>
      <w:r>
        <w:t xml:space="preserve"> </w:t>
      </w:r>
      <w:r>
        <w:t xml:space="preserve">table and is</w:t>
      </w:r>
      <w:r>
        <w:t xml:space="preserve"> </w:t>
      </w:r>
      <w:r>
        <w:t xml:space="preserve">idempotent — already-applied migrations are skipped.</w:t>
      </w:r>
    </w:p>
    <w:p>
      <w:r>
        <w:pict>
          <v:rect style="width:0;height:1.5pt" o:hralign="center" o:hrstd="t" o:hr="t"/>
        </w:pict>
      </w:r>
    </w:p>
    <w:bookmarkEnd w:id="32"/>
    <w:bookmarkStart w:id="33" w:name="smoke-test-the-cutover"/>
    <w:p>
      <w:pPr>
        <w:pStyle w:val="Heading2"/>
      </w:pPr>
      <w:r>
        <w:t xml:space="preserve">7. Smoke-test the cutover</w:t>
      </w:r>
    </w:p>
    <w:p>
      <w:pPr>
        <w:pStyle w:val="FirstParagraph"/>
      </w:pPr>
      <w:r>
        <w:t xml:space="preserve">After the app is pointed at Neon and redeployed:</w:t>
      </w:r>
    </w:p>
    <w:p>
      <w:pPr>
        <w:pStyle w:val="SourceCode"/>
      </w:pPr>
      <w:r>
        <w:rPr>
          <w:rStyle w:val="CommentTok"/>
        </w:rPr>
        <w:t xml:space="preserve"># Health endpoint (checks DB connectivity)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br/>
      </w:r>
      <w:r>
        <w:br/>
      </w:r>
      <w:r>
        <w:rPr>
          <w:rStyle w:val="CommentTok"/>
        </w:rPr>
        <w:t xml:space="preserve"># Demo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your-domain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'{"email":"sofia@solaris.health","password":"demo123"}'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status: "ok"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database: "ok"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, and a JWT token</w:t>
      </w:r>
      <w:r>
        <w:t xml:space="preserve"> </w:t>
      </w:r>
      <w:r>
        <w:t xml:space="preserve">from the login call.</w:t>
      </w:r>
    </w:p>
    <w:p>
      <w:r>
        <w:pict>
          <v:rect style="width:0;height:1.5pt" o:hralign="center" o:hrstd="t" o:hr="t"/>
        </w:pict>
      </w:r>
    </w:p>
    <w:bookmarkEnd w:id="33"/>
    <w:bookmarkStart w:id="34" w:name="rollback"/>
    <w:p>
      <w:pPr>
        <w:pStyle w:val="Heading2"/>
      </w:pPr>
      <w:r>
        <w:t xml:space="preserve">8. Rollback</w:t>
      </w:r>
    </w:p>
    <w:p>
      <w:pPr>
        <w:pStyle w:val="FirstParagraph"/>
      </w:pPr>
      <w:r>
        <w:t xml:space="preserve">If anything looks wrong, set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back to the original Postgres</w:t>
      </w:r>
      <w:r>
        <w:t xml:space="preserve"> </w:t>
      </w:r>
      <w:r>
        <w:t xml:space="preserve">connection string and redeploy. Because the Neon migration is additive (a copy,</w:t>
      </w:r>
      <w:r>
        <w:t xml:space="preserve"> </w:t>
      </w:r>
      <w:r>
        <w:t xml:space="preserve">not a move), the original database is untouched and remains the source of</w:t>
      </w:r>
      <w:r>
        <w:t xml:space="preserve"> </w:t>
      </w:r>
      <w:r>
        <w:t xml:space="preserve">truth until you deliberately decommission it.</w:t>
      </w:r>
    </w:p>
    <w:p>
      <w:r>
        <w:pict>
          <v:rect style="width:0;height:1.5pt" o:hralign="center" o:hrstd="t" o:hr="t"/>
        </w:pict>
      </w:r>
    </w:p>
    <w:bookmarkEnd w:id="34"/>
    <w:bookmarkStart w:id="35" w:name="why-this-works-with-zero-code-changes"/>
    <w:p>
      <w:pPr>
        <w:pStyle w:val="Heading2"/>
      </w:pPr>
      <w:r>
        <w:t xml:space="preserve">Why this works with zero code changes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backend/src/db.js</w:t>
      </w:r>
      <w:r>
        <w:t xml:space="preserve"> </w:t>
      </w:r>
      <w:r>
        <w:t xml:space="preserve">builds its pool</w:t>
      </w:r>
      <w:r>
        <w:t xml:space="preserve"> </w:t>
      </w:r>
      <w:r>
        <w:rPr>
          <w:bCs/>
          <w:b/>
        </w:rPr>
        <w:t xml:space="preserve">solely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— there are</w:t>
      </w:r>
      <w:r>
        <w:t xml:space="preserve"> </w:t>
      </w:r>
      <w:r>
        <w:t xml:space="preserve">no hardcoded hosts, users, or passwords.</w:t>
      </w:r>
    </w:p>
    <w:p>
      <w:pPr>
        <w:numPr>
          <w:ilvl w:val="0"/>
          <w:numId w:val="1007"/>
        </w:numPr>
        <w:pStyle w:val="Compact"/>
      </w:pPr>
      <w:r>
        <w:t xml:space="preserve">TLS is auto-negotiated from the connection string (</w:t>
      </w:r>
      <w:r>
        <w:rPr>
          <w:rStyle w:val="VerbatimChar"/>
        </w:rPr>
        <w:t xml:space="preserve">sslmode=require</w:t>
      </w:r>
      <w:r>
        <w:t xml:space="preserve">) or the</w:t>
      </w:r>
      <w:r>
        <w:t xml:space="preserve"> </w:t>
      </w:r>
      <w:r>
        <w:rPr>
          <w:rStyle w:val="VerbatimChar"/>
        </w:rPr>
        <w:t xml:space="preserve">PGSSL</w:t>
      </w:r>
      <w:r>
        <w:t xml:space="preserve"> </w:t>
      </w:r>
      <w:r>
        <w:t xml:space="preserve">flag, so Neon’s required SSL</w:t>
      </w:r>
      <w:r>
        <w:t xml:space="preserve"> </w:t>
      </w:r>
      <w:r>
        <w:t xml:space="preserve">“</w:t>
      </w:r>
      <w:r>
        <w:t xml:space="preserve">just works.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Schema and migrations are provider-agnostic standard SQL.</w:t>
      </w:r>
    </w:p>
    <w:p>
      <w:pPr>
        <w:pStyle w:val="FirstParagraph"/>
      </w:pPr>
      <w:r>
        <w:t xml:space="preserve">This is the 12-factor</w:t>
      </w:r>
      <w:r>
        <w:t xml:space="preserve"> </w:t>
      </w:r>
      <w:r>
        <w:t xml:space="preserve">“</w:t>
      </w:r>
      <w:r>
        <w:t xml:space="preserve">backing services as attached resources</w:t>
      </w:r>
      <w:r>
        <w:t xml:space="preserve">”</w:t>
      </w:r>
      <w:r>
        <w:t xml:space="preserve"> </w:t>
      </w:r>
      <w:r>
        <w:t xml:space="preserve">principle: the</w:t>
      </w:r>
      <w:r>
        <w:t xml:space="preserve"> </w:t>
      </w:r>
      <w:r>
        <w:t xml:space="preserve">database is swappable via configuration alone.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onsole.neon.tech" TargetMode="External" /><Relationship Type="http://schemas.openxmlformats.org/officeDocument/2006/relationships/hyperlink" Id="rId20" Target="https://neon.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nsole.neon.tech" TargetMode="External" /><Relationship Type="http://schemas.openxmlformats.org/officeDocument/2006/relationships/hyperlink" Id="rId20" Target="https://neon.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2026-07-22T05:10:40Z</dcterms:created>
  <dcterms:modified xsi:type="dcterms:W3CDTF">2026-07-22T05:10:40Z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