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2c4c7174ea18fe49bc9ba10ec08fc619c8c97a4"/>
    <w:p>
      <w:pPr>
        <w:pStyle w:val="Heading1"/>
      </w:pPr>
      <w:r>
        <w:t xml:space="preserve">ADR 001 — Solaris ID: Permanent Portable Identity Above Endpoints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Accepted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Date:</w:t>
      </w:r>
      <w:r>
        <w:t xml:space="preserve"> </w:t>
      </w:r>
      <w:r>
        <w:t xml:space="preserve">2026-07-24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Grounding:</w:t>
      </w:r>
      <w:r>
        <w:t xml:space="preserve"> </w:t>
      </w:r>
      <w:r>
        <w:t xml:space="preserve">GPS Protocol Suite v1.0 (see</w:t>
      </w:r>
      <w:r>
        <w:t xml:space="preserve"> </w:t>
      </w:r>
      <w:r>
        <w:rPr>
          <w:rStyle w:val="VerbatimChar"/>
        </w:rPr>
        <w:t xml:space="preserve">docs/GPS_PROTOCOL_NOTES.md</w:t>
      </w:r>
      <w:r>
        <w:t xml:space="preserve">), esp. Constitution §6: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Identity is stable above replaceable payment endpoints.</w:t>
      </w:r>
      <w:r>
        <w:rPr>
          <w:iCs/>
          <w:i/>
        </w:rPr>
        <w:t xml:space="preserve">”</w:t>
      </w:r>
      <w:r>
        <w:t xml:space="preserve"> </w:t>
      </w:r>
      <w:r>
        <w:t xml:space="preserve">The Solaris ID is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durable identity and permission graph above wallet endpoints</w:t>
      </w:r>
      <w:r>
        <w:rPr>
          <w:iCs/>
          <w:i/>
        </w:rPr>
        <w:t xml:space="preserve">”</w:t>
      </w:r>
      <w:r>
        <w:t xml:space="preserve"> </w:t>
      </w:r>
      <w:r>
        <w:t xml:space="preserve">— it resolves</w:t>
      </w:r>
      <w:r>
        <w:t xml:space="preserve"> </w:t>
      </w:r>
      <w:r>
        <w:t xml:space="preserve">replaceable</w:t>
      </w:r>
      <w:r>
        <w:t xml:space="preserve"> </w:t>
      </w:r>
      <w:r>
        <w:rPr>
          <w:rStyle w:val="VerbatimChar"/>
        </w:rPr>
        <w:t xml:space="preserve">payment_endpoints</w:t>
      </w:r>
      <w:r>
        <w:t xml:space="preserve">, and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address rotation must not erase contribution history.</w:t>
      </w:r>
      <w:r>
        <w:rPr>
          <w:iCs/>
          <w:i/>
        </w:rPr>
        <w:t xml:space="preserve">”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Never make an address the identity.</w:t>
      </w:r>
      <w:r>
        <w:rPr>
          <w:iCs/>
          <w:i/>
        </w:rPr>
        <w:t xml:space="preserve">”</w:t>
      </w:r>
    </w:p>
    <w:bookmarkStart w:id="20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Today the app’s canonical identity is the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row (UUID + email/password). Email is a</w:t>
      </w:r>
      <w:r>
        <w:t xml:space="preserve"> </w:t>
      </w:r>
      <w:r>
        <w:t xml:space="preserve">login credential and PII — it cannot be the permanent, portable, shareable identity that GPS</w:t>
      </w:r>
      <w:r>
        <w:t xml:space="preserve"> </w:t>
      </w:r>
      <w:r>
        <w:t xml:space="preserve">receipts, agent authority grants, AI execution receipts and vault exports should reference.</w:t>
      </w:r>
      <w:r>
        <w:t xml:space="preserve"> </w:t>
      </w:r>
      <w:r>
        <w:t xml:space="preserve">The GPS protocol expects a stable identity (</w:t>
      </w:r>
      <w:r>
        <w:rPr>
          <w:rStyle w:val="VerbatimChar"/>
        </w:rPr>
        <w:t xml:space="preserve">gps:identity:</w:t>
      </w:r>
      <w:r>
        <w:t xml:space="preserve"> </w:t>
      </w:r>
      <w:r>
        <w:t xml:space="preserve">prefixed in the suite) that survives</w:t>
      </w:r>
      <w:r>
        <w:t xml:space="preserve"> </w:t>
      </w:r>
      <w:r>
        <w:t xml:space="preserve">changes of email, wallet, DID or nostr key.</w:t>
      </w:r>
    </w:p>
    <w:bookmarkEnd w:id="20"/>
    <w:bookmarkStart w:id="27" w:name="decision"/>
    <w:p>
      <w:pPr>
        <w:pStyle w:val="Heading2"/>
      </w:pPr>
      <w:r>
        <w:t xml:space="preserve">Decision</w:t>
      </w:r>
    </w:p>
    <w:bookmarkStart w:id="21" w:name="permanent-solaris-subject-id"/>
    <w:p>
      <w:pPr>
        <w:pStyle w:val="Heading3"/>
      </w:pPr>
      <w:r>
        <w:t xml:space="preserve">1. Permanent Solaris Subject ID</w:t>
      </w:r>
    </w:p>
    <w:p>
      <w:pPr>
        <w:pStyle w:val="FirstParagraph"/>
      </w:pPr>
      <w:r>
        <w:t xml:space="preserve">Every user gets exactly one</w:t>
      </w:r>
      <w:r>
        <w:t xml:space="preserve"> </w:t>
      </w:r>
      <w:r>
        <w:rPr>
          <w:bCs/>
          <w:b/>
        </w:rPr>
        <w:t xml:space="preserve">Solaris Subject ID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Format:</w:t>
      </w:r>
      <w:r>
        <w:t xml:space="preserve"> </w:t>
      </w:r>
      <w:r>
        <w:rPr>
          <w:rStyle w:val="VerbatimChar"/>
        </w:rPr>
        <w:t xml:space="preserve">sol_</w:t>
      </w:r>
      <w:r>
        <w:t xml:space="preserve"> </w:t>
      </w:r>
      <w:r>
        <w:t xml:space="preserve">+ 32 lowercase hex chars (128 bits of randomness), e.g.</w:t>
      </w:r>
      <w:r>
        <w:t xml:space="preserve"> </w:t>
      </w:r>
      <w:r>
        <w:rPr>
          <w:rStyle w:val="VerbatimChar"/>
        </w:rPr>
        <w:t xml:space="preserve">sol_1a2b3c4d5e6f7a8b9c0d1e2f3a4b5c6d</w:t>
      </w:r>
      <w:r>
        <w:t xml:space="preserve"> </w:t>
      </w:r>
      <w:r>
        <w:t xml:space="preserve">— regex</w:t>
      </w:r>
      <w:r>
        <w:t xml:space="preserve"> </w:t>
      </w:r>
      <w:r>
        <w:rPr>
          <w:rStyle w:val="VerbatimChar"/>
        </w:rPr>
        <w:t xml:space="preserve">^sol_[0-9a-f]{32}$</w:t>
      </w:r>
      <w:r>
        <w:t xml:space="preserve">, 36 chars total.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Non-PII by construction:</w:t>
      </w:r>
      <w:r>
        <w:t xml:space="preserve"> </w:t>
      </w:r>
      <w:r>
        <w:t xml:space="preserve">random; never derived from email, name, user UUID or any</w:t>
      </w:r>
      <w:r>
        <w:t xml:space="preserve"> </w:t>
      </w:r>
      <w:r>
        <w:t xml:space="preserve">attribute. Contains no information about the person.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Permanent:</w:t>
      </w:r>
      <w:r>
        <w:t xml:space="preserve"> </w:t>
      </w:r>
      <w:r>
        <w:t xml:space="preserve">never rotated, never reused, survives credential and endpoint changes.</w:t>
      </w:r>
    </w:p>
    <w:p>
      <w:pPr>
        <w:numPr>
          <w:ilvl w:val="0"/>
          <w:numId w:val="1002"/>
        </w:numPr>
        <w:pStyle w:val="Compact"/>
      </w:pPr>
      <w:r>
        <w:t xml:space="preserve">Stored in</w:t>
      </w:r>
      <w:r>
        <w:t xml:space="preserve"> </w:t>
      </w:r>
      <w:r>
        <w:rPr>
          <w:rStyle w:val="VerbatimChar"/>
        </w:rPr>
        <w:t xml:space="preserve">solaris_subjects</w:t>
      </w:r>
      <w:r>
        <w:t xml:space="preserve"> </w:t>
      </w:r>
      <w:r>
        <w:t xml:space="preserve">with a 1:1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link. The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 remains the</w:t>
      </w:r>
      <w:r>
        <w:t xml:space="preserve"> </w:t>
      </w:r>
      <w:r>
        <w:t xml:space="preserve">authentication record; the Solaris ID becomes the</w:t>
      </w:r>
      <w:r>
        <w:t xml:space="preserve"> </w:t>
      </w:r>
      <w:r>
        <w:rPr>
          <w:bCs/>
          <w:b/>
        </w:rPr>
        <w:t xml:space="preserve">canonical join key</w:t>
      </w:r>
      <w:r>
        <w:t xml:space="preserve"> </w:t>
      </w:r>
      <w:r>
        <w:t xml:space="preserve">for</w:t>
      </w:r>
      <w:r>
        <w:t xml:space="preserve"> </w:t>
      </w:r>
      <w:r>
        <w:t xml:space="preserve">protocol-facing records (receipts, grants, exports).</w:t>
      </w:r>
    </w:p>
    <w:bookmarkEnd w:id="21"/>
    <w:bookmarkStart w:id="22" w:name="bindings-not-identities"/>
    <w:p>
      <w:pPr>
        <w:pStyle w:val="Heading3"/>
      </w:pPr>
      <w:r>
        <w:t xml:space="preserve">2. Bindings, not identities</w:t>
      </w:r>
    </w:p>
    <w:p>
      <w:pPr>
        <w:pStyle w:val="FirstParagraph"/>
      </w:pPr>
      <w:r>
        <w:t xml:space="preserve">Email, DID, nostr npub, wallet addresses and (future) clinic IDs are</w:t>
      </w:r>
      <w:r>
        <w:t xml:space="preserve"> </w:t>
      </w:r>
      <w:r>
        <w:rPr>
          <w:bCs/>
          <w:b/>
        </w:rPr>
        <w:t xml:space="preserve">bindings</w:t>
      </w:r>
      <w:r>
        <w:t xml:space="preserve"> </w:t>
      </w:r>
      <w:r>
        <w:t xml:space="preserve">attached to</w:t>
      </w:r>
      <w:r>
        <w:t xml:space="preserve"> </w:t>
      </w:r>
      <w:r>
        <w:t xml:space="preserve">the subject — replaceable pointers, never the identity itself.</w:t>
      </w:r>
    </w:p>
    <w:p>
      <w:pPr>
        <w:pStyle w:val="BodyText"/>
      </w:pPr>
      <w:r>
        <w:rPr>
          <w:rStyle w:val="VerbatimChar"/>
        </w:rPr>
        <w:t xml:space="preserve">solaris_identity_bindings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binding_type</w:t>
      </w:r>
      <w:r>
        <w:t xml:space="preserve"> </w:t>
      </w:r>
      <w:r>
        <w:t xml:space="preserve">enum (CHECK):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did</w:t>
      </w:r>
      <w:r>
        <w:t xml:space="preserve">,</w:t>
      </w:r>
      <w:r>
        <w:t xml:space="preserve"> </w:t>
      </w:r>
      <w:r>
        <w:rPr>
          <w:rStyle w:val="VerbatimChar"/>
        </w:rPr>
        <w:t xml:space="preserve">nostr</w:t>
      </w:r>
      <w:r>
        <w:t xml:space="preserve">,</w:t>
      </w:r>
      <w:r>
        <w:t xml:space="preserve"> </w:t>
      </w:r>
      <w:r>
        <w:rPr>
          <w:rStyle w:val="VerbatimChar"/>
        </w:rPr>
        <w:t xml:space="preserve">wallet</w:t>
      </w:r>
      <w:r>
        <w:t xml:space="preserve">,</w:t>
      </w:r>
      <w:r>
        <w:t xml:space="preserve"> </w:t>
      </w:r>
      <w:r>
        <w:rPr>
          <w:rStyle w:val="VerbatimChar"/>
        </w:rPr>
        <w:t xml:space="preserve">clinic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Implemented today: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(login credential),</w:t>
      </w:r>
      <w:r>
        <w:t xml:space="preserve"> </w:t>
      </w:r>
      <w:r>
        <w:rPr>
          <w:rStyle w:val="VerbatimChar"/>
        </w:rPr>
        <w:t xml:space="preserve">did</w:t>
      </w:r>
      <w:r>
        <w:t xml:space="preserve">,</w:t>
      </w:r>
      <w:r>
        <w:t xml:space="preserve"> </w:t>
      </w:r>
      <w:r>
        <w:rPr>
          <w:rStyle w:val="VerbatimChar"/>
        </w:rPr>
        <w:t xml:space="preserve">nostr</w:t>
      </w:r>
      <w:r>
        <w:t xml:space="preserve">,</w:t>
      </w:r>
      <w:r>
        <w:t xml:space="preserve"> </w:t>
      </w:r>
      <w:r>
        <w:rPr>
          <w:rStyle w:val="VerbatimChar"/>
        </w:rPr>
        <w:t xml:space="preserve">wallet</w:t>
      </w:r>
      <w:r>
        <w:t xml:space="preserve"> </w:t>
      </w:r>
      <w:r>
        <w:t xml:space="preserve">(backfilled where present).</w:t>
      </w:r>
    </w:p>
    <w:p>
      <w:pPr>
        <w:numPr>
          <w:ilvl w:val="1"/>
          <w:numId w:val="1004"/>
        </w:numPr>
        <w:pStyle w:val="Compact"/>
      </w:pPr>
      <w:r>
        <w:t xml:space="preserve">Schema-ready, surfaced as honest</w:t>
      </w:r>
      <w:r>
        <w:t xml:space="preserve"> </w:t>
      </w:r>
      <w:r>
        <w:t xml:space="preserve">“</w:t>
      </w:r>
      <w:r>
        <w:t xml:space="preserve">coming soon</w:t>
      </w:r>
      <w:r>
        <w:t xml:space="preserve">”</w:t>
      </w:r>
      <w:r>
        <w:t xml:space="preserve">:</w:t>
      </w:r>
      <w:r>
        <w:t xml:space="preserve"> </w:t>
      </w:r>
      <w:r>
        <w:rPr>
          <w:rStyle w:val="VerbatimChar"/>
        </w:rPr>
        <w:t xml:space="preserve">clinic</w:t>
      </w:r>
      <w:r>
        <w:t xml:space="preserve"> </w:t>
      </w:r>
      <w:r>
        <w:t xml:space="preserve">(and additional</w:t>
      </w:r>
      <w:r>
        <w:t xml:space="preserve"> </w:t>
      </w:r>
      <w:r>
        <w:rPr>
          <w:rStyle w:val="VerbatimChar"/>
        </w:rPr>
        <w:t xml:space="preserve">wallet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did</w:t>
      </w:r>
      <w:r>
        <w:t xml:space="preserve"> </w:t>
      </w:r>
      <w:r>
        <w:t xml:space="preserve">flows with real verification).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status</w:t>
      </w:r>
      <w:r>
        <w:t xml:space="preserve"> </w:t>
      </w:r>
      <w:r>
        <w:t xml:space="preserve">enum (CHECK):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revoked</w:t>
      </w:r>
      <w:r>
        <w:t xml:space="preserve"> </w:t>
      </w:r>
      <w:r>
        <w:t xml:space="preserve">— with</w:t>
      </w:r>
      <w:r>
        <w:t xml:space="preserve"> </w:t>
      </w:r>
      <w:r>
        <w:rPr>
          <w:rStyle w:val="VerbatimChar"/>
        </w:rPr>
        <w:t xml:space="preserve">verified_at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revoked_at</w:t>
      </w:r>
      <w:r>
        <w:t xml:space="preserve"> </w:t>
      </w:r>
      <w:r>
        <w:t xml:space="preserve">timestamps. Lifecycle: created (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) → verified → revoked. Revoking a</w:t>
      </w:r>
      <w:r>
        <w:t xml:space="preserve"> </w:t>
      </w:r>
      <w:r>
        <w:t xml:space="preserve">binding never touches the subject or its history.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PII stance:</w:t>
      </w:r>
      <w:r>
        <w:t xml:space="preserve"> </w:t>
      </w:r>
      <w:r>
        <w:rPr>
          <w:rStyle w:val="VerbatimChar"/>
        </w:rPr>
        <w:t xml:space="preserve">binding_value</w:t>
      </w:r>
      <w:r>
        <w:t xml:space="preserve"> </w:t>
      </w:r>
      <w:r>
        <w:t xml:space="preserve">stores only</w:t>
      </w:r>
      <w:r>
        <w:t xml:space="preserve"> </w:t>
      </w:r>
      <w:r>
        <w:rPr>
          <w:iCs/>
          <w:i/>
        </w:rPr>
        <w:t xml:space="preserve">public</w:t>
      </w:r>
      <w:r>
        <w:t xml:space="preserve"> </w:t>
      </w:r>
      <w:r>
        <w:t xml:space="preserve">identifiers (DID strings, npubs,</w:t>
      </w:r>
      <w:r>
        <w:t xml:space="preserve"> </w:t>
      </w:r>
      <w:r>
        <w:t xml:space="preserve">wallet addresses). For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binding_value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— only</w:t>
      </w:r>
      <w:r>
        <w:t xml:space="preserve"> </w:t>
      </w:r>
      <w:r>
        <w:rPr>
          <w:rStyle w:val="VerbatimChar"/>
        </w:rPr>
        <w:t xml:space="preserve">binding_hash</w:t>
      </w:r>
      <w:r>
        <w:t xml:space="preserve"> </w:t>
      </w:r>
      <w:r>
        <w:t xml:space="preserve">(SHA-256 of the lowercased address) is stored, enough to prove/match the binding without</w:t>
      </w:r>
      <w:r>
        <w:t xml:space="preserve"> </w:t>
      </w:r>
      <w:r>
        <w:t xml:space="preserve">duplicating PII outside the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table.</w:t>
      </w:r>
    </w:p>
    <w:p>
      <w:pPr>
        <w:numPr>
          <w:ilvl w:val="0"/>
          <w:numId w:val="1003"/>
        </w:numPr>
        <w:pStyle w:val="Compact"/>
      </w:pPr>
      <w:r>
        <w:t xml:space="preserve">Uniqueness:</w:t>
      </w:r>
      <w:r>
        <w:t xml:space="preserve"> </w:t>
      </w:r>
      <w:r>
        <w:rPr>
          <w:rStyle w:val="VerbatimChar"/>
        </w:rPr>
        <w:t xml:space="preserve">(subject_id, binding_type, binding_hash)</w:t>
      </w:r>
      <w:r>
        <w:t xml:space="preserve">.</w:t>
      </w:r>
    </w:p>
    <w:bookmarkEnd w:id="22"/>
    <w:bookmarkStart w:id="23" w:name="gps-end-address-lives-on-the-subject"/>
    <w:p>
      <w:pPr>
        <w:pStyle w:val="Heading3"/>
      </w:pPr>
      <w:r>
        <w:t xml:space="preserve">3. GPS end-address lives on the subject</w:t>
      </w:r>
    </w:p>
    <w:p>
      <w:pPr>
        <w:pStyle w:val="FirstParagraph"/>
      </w:pPr>
      <w:r>
        <w:t xml:space="preserve">Per Constitution §6 and Comms Guide §6 (</w:t>
      </w:r>
      <w:r>
        <w:rPr>
          <w:iCs/>
          <w:i/>
        </w:rPr>
        <w:t xml:space="preserve">“</w:t>
      </w:r>
      <w:r>
        <w:rPr>
          <w:iCs/>
          <w:i/>
        </w:rPr>
        <w:t xml:space="preserve">your Solaris ID can point to a replaceable Lightning</w:t>
      </w:r>
      <w:r>
        <w:rPr>
          <w:iCs/>
          <w:i/>
        </w:rPr>
        <w:t xml:space="preserve"> </w:t>
      </w:r>
      <w:r>
        <w:rPr>
          <w:iCs/>
          <w:i/>
        </w:rPr>
        <w:t xml:space="preserve">address or wallet connection</w:t>
      </w:r>
      <w:r>
        <w:rPr>
          <w:iCs/>
          <w:i/>
        </w:rPr>
        <w:t xml:space="preserve">”</w:t>
      </w:r>
      <w:r>
        <w:t xml:space="preserve">), the subject row carries the GPS end-address configuration: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gps_end_address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gps_end_address_type</w:t>
      </w:r>
      <w:r>
        <w:t xml:space="preserve"> </w:t>
      </w:r>
      <w:r>
        <w:t xml:space="preserve">— defaults</w:t>
      </w:r>
      <w:r>
        <w:t xml:space="preserve"> </w:t>
      </w:r>
      <w:r>
        <w:rPr>
          <w:rStyle w:val="VerbatimChar"/>
        </w:rPr>
        <w:t xml:space="preserve">solaris_default</w:t>
      </w:r>
      <w:r>
        <w:t xml:space="preserve"> </w:t>
      </w:r>
      <w:r>
        <w:t xml:space="preserve">(Solaris-managed</w:t>
      </w:r>
      <w:r>
        <w:t xml:space="preserve"> </w:t>
      </w:r>
      <w:r>
        <w:t xml:space="preserve">recipients), the state described in the notes: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defaults to Solaris-managed recipients until</w:t>
      </w:r>
      <w:r>
        <w:rPr>
          <w:iCs/>
          <w:i/>
        </w:rPr>
        <w:t xml:space="preserve"> </w:t>
      </w:r>
      <w:r>
        <w:rPr>
          <w:iCs/>
          <w:i/>
        </w:rPr>
        <w:t xml:space="preserve">the user sets their own endpoint.</w:t>
      </w:r>
      <w:r>
        <w:rPr>
          <w:iCs/>
          <w:i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Users may set a Lightning-address-shaped text value (</w:t>
      </w:r>
      <w:r>
        <w:rPr>
          <w:rStyle w:val="VerbatimChar"/>
        </w:rPr>
        <w:t xml:space="preserve">name@domain</w:t>
      </w:r>
      <w:r>
        <w:t xml:space="preserve">,</w:t>
      </w:r>
      <w:r>
        <w:t xml:space="preserve"> </w:t>
      </w:r>
      <w:r>
        <w:t xml:space="preserve">type</w:t>
      </w:r>
      <w:r>
        <w:t xml:space="preserve"> </w:t>
      </w:r>
      <w:r>
        <w:rPr>
          <w:rStyle w:val="VerbatimChar"/>
        </w:rPr>
        <w:t xml:space="preserve">lightning_address</w:t>
      </w:r>
      <w:r>
        <w:t xml:space="preserve">). This is</w:t>
      </w:r>
      <w:r>
        <w:t xml:space="preserve"> </w:t>
      </w:r>
      <w:r>
        <w:rPr>
          <w:bCs/>
          <w:b/>
        </w:rPr>
        <w:t xml:space="preserve">configuration only — simulated, no real payments</w:t>
      </w:r>
      <w:r>
        <w:t xml:space="preserve"> </w:t>
      </w:r>
      <w:r>
        <w:t xml:space="preserve">are</w:t>
      </w:r>
      <w:r>
        <w:t xml:space="preserve"> </w:t>
      </w:r>
      <w:r>
        <w:t xml:space="preserve">made in this app; the UI says so. Real Lightning/NWC/Spark adapters remain future work.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backend/src/lib/gps/protocol-config.js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 </w:t>
      </w:r>
      <w:r>
        <w:t xml:space="preserve">remains the system-wide default/fallback;</w:t>
      </w:r>
      <w:r>
        <w:t xml:space="preserve"> </w:t>
      </w:r>
      <w:r>
        <w:t xml:space="preserve">the subject row is the per-user source of truth.</w:t>
      </w:r>
    </w:p>
    <w:bookmarkEnd w:id="23"/>
    <w:bookmarkStart w:id="24" w:name="receipts-and-grants-stamp-the-subject"/>
    <w:p>
      <w:pPr>
        <w:pStyle w:val="Heading3"/>
      </w:pPr>
      <w:r>
        <w:t xml:space="preserve">4. Receipts and grants stamp the subject</w:t>
      </w:r>
    </w:p>
    <w:p>
      <w:pPr>
        <w:pStyle w:val="FirstParagraph"/>
      </w:pPr>
      <w:r>
        <w:t xml:space="preserve">Additive, nullable</w:t>
      </w:r>
      <w:r>
        <w:t xml:space="preserve"> </w:t>
      </w:r>
      <w:r>
        <w:rPr>
          <w:rStyle w:val="VerbatimChar"/>
        </w:rPr>
        <w:t xml:space="preserve">subject_id</w:t>
      </w:r>
      <w:r>
        <w:t xml:space="preserve"> </w:t>
      </w:r>
      <w:r>
        <w:t xml:space="preserve">columns (FK →</w:t>
      </w:r>
      <w:r>
        <w:t xml:space="preserve"> </w:t>
      </w:r>
      <w:r>
        <w:rPr>
          <w:rStyle w:val="VerbatimChar"/>
        </w:rPr>
        <w:t xml:space="preserve">solaris_subjects.subject_id</w:t>
      </w:r>
      <w:r>
        <w:t xml:space="preserve">) on: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gps_allocation_receipts</w:t>
      </w:r>
      <w:r>
        <w:t xml:space="preserve"> </w:t>
      </w:r>
      <w:r>
        <w:t xml:space="preserve">(patient’s subject, via</w:t>
      </w:r>
      <w:r>
        <w:t xml:space="preserve"> </w:t>
      </w:r>
      <w:r>
        <w:rPr>
          <w:rStyle w:val="VerbatimChar"/>
        </w:rPr>
        <w:t xml:space="preserve">gps_transactions.patient_id</w:t>
      </w:r>
      <w:r>
        <w:t xml:space="preserve">),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ai_execution_receipts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→ subject),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agent_capability_grants</w:t>
      </w:r>
      <w:r>
        <w:t xml:space="preserve"> </w:t>
      </w:r>
      <w:r>
        <w:t xml:space="preserve">(</w:t>
      </w:r>
      <w:r>
        <w:rPr>
          <w:rStyle w:val="VerbatimChar"/>
        </w:rPr>
        <w:t xml:space="preserve">owner_subject_id</w:t>
      </w:r>
      <w:r>
        <w:t xml:space="preserve">, owner → subject).</w:t>
      </w:r>
    </w:p>
    <w:p>
      <w:pPr>
        <w:pStyle w:val="FirstParagraph"/>
      </w:pPr>
      <w:r>
        <w:t xml:space="preserve">Backfilled where mappable; stamped best-effort on all new records. Historical receipt</w:t>
      </w:r>
      <w:r>
        <w:t xml:space="preserve"> </w:t>
      </w:r>
      <w:r>
        <w:rPr>
          <w:iCs/>
          <w:i/>
        </w:rPr>
        <w:t xml:space="preserve">evidence</w:t>
      </w:r>
      <w:r>
        <w:t xml:space="preserve"> </w:t>
      </w:r>
      <w:r>
        <w:t xml:space="preserve">blobs are append-only and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rewritten (hash-stable); the column is a</w:t>
      </w:r>
      <w:r>
        <w:t xml:space="preserve"> </w:t>
      </w:r>
      <w:r>
        <w:t xml:space="preserve">join key, not part of the signed evidence.</w:t>
      </w:r>
    </w:p>
    <w:bookmarkEnd w:id="24"/>
    <w:bookmarkStart w:id="25" w:name="X9a19c790ee22ba582dbba9113c77a414b4d2716"/>
    <w:p>
      <w:pPr>
        <w:pStyle w:val="Heading3"/>
      </w:pPr>
      <w:r>
        <w:t xml:space="preserve">5. Backfill strategy (migration 023, additive only)</w:t>
      </w:r>
    </w:p>
    <w:p>
      <w:pPr>
        <w:numPr>
          <w:ilvl w:val="0"/>
          <w:numId w:val="1007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solaris_subjects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solaris_identity_bindings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Insert exactly one subject per existing user (</w:t>
      </w:r>
      <w:r>
        <w:rPr>
          <w:rStyle w:val="VerbatimChar"/>
        </w:rPr>
        <w:t xml:space="preserve">'sol_' || replace(gen_random_uuid()::text,'-','')</w:t>
      </w:r>
      <w:r>
        <w:t xml:space="preserve">);</w:t>
      </w:r>
      <w:r>
        <w:t xml:space="preserve"> </w:t>
      </w:r>
      <w:r>
        <w:t xml:space="preserve">idempotent (</w:t>
      </w:r>
      <w:r>
        <w:rPr>
          <w:rStyle w:val="VerbatimChar"/>
        </w:rPr>
        <w:t xml:space="preserve">ON CONFLICT (user_id) DO NOTHING</w:t>
      </w:r>
      <w:r>
        <w:t xml:space="preserve">). Never duplicates user records.</w:t>
      </w:r>
    </w:p>
    <w:p>
      <w:pPr>
        <w:numPr>
          <w:ilvl w:val="0"/>
          <w:numId w:val="1007"/>
        </w:numPr>
        <w:pStyle w:val="Compact"/>
      </w:pPr>
      <w:r>
        <w:t xml:space="preserve">Backfill bindings: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(hash-only) for all users;</w:t>
      </w:r>
      <w:r>
        <w:t xml:space="preserve"> </w:t>
      </w:r>
      <w:r>
        <w:rPr>
          <w:rStyle w:val="VerbatimChar"/>
        </w:rPr>
        <w:t xml:space="preserve">did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nostr</w:t>
      </w:r>
      <w:r>
        <w:t xml:space="preserve"> </w:t>
      </w:r>
      <w:r>
        <w:t xml:space="preserve">where set on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;</w:t>
      </w:r>
      <w:r>
        <w:t xml:space="preserve"> </w:t>
      </w:r>
      <w:r>
        <w:rPr>
          <w:rStyle w:val="VerbatimChar"/>
        </w:rPr>
        <w:t xml:space="preserve">wallet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wallet_addresses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Add + backfill the nullable</w:t>
      </w:r>
      <w:r>
        <w:t xml:space="preserve"> </w:t>
      </w:r>
      <w:r>
        <w:rPr>
          <w:rStyle w:val="VerbatimChar"/>
        </w:rPr>
        <w:t xml:space="preserve">subject_id</w:t>
      </w:r>
      <w:r>
        <w:t xml:space="preserve"> </w:t>
      </w:r>
      <w:r>
        <w:t xml:space="preserve">columns of §4.</w:t>
      </w:r>
    </w:p>
    <w:p>
      <w:pPr>
        <w:numPr>
          <w:ilvl w:val="0"/>
          <w:numId w:val="1007"/>
        </w:numPr>
        <w:pStyle w:val="Compact"/>
      </w:pPr>
      <w:r>
        <w:t xml:space="preserve">New users get a subject lazily via</w:t>
      </w:r>
      <w:r>
        <w:t xml:space="preserve"> </w:t>
      </w:r>
      <w:r>
        <w:rPr>
          <w:rStyle w:val="VerbatimChar"/>
        </w:rPr>
        <w:t xml:space="preserve">ensureSubjectForUser(userId)</w:t>
      </w:r>
      <w:r>
        <w:t xml:space="preserve"> </w:t>
      </w:r>
      <w:r>
        <w:t xml:space="preserve">in the identity module</w:t>
      </w:r>
      <w:r>
        <w:t xml:space="preserve"> </w:t>
      </w:r>
      <w:r>
        <w:t xml:space="preserve">(idempotent insert), invoked from identity endpoints and receipt stamping — no auth-flow change.</w:t>
      </w:r>
    </w:p>
    <w:bookmarkEnd w:id="25"/>
    <w:bookmarkStart w:id="26" w:name="agent-boundary"/>
    <w:p>
      <w:pPr>
        <w:pStyle w:val="Heading3"/>
      </w:pPr>
      <w:r>
        <w:t xml:space="preserve">6. Agent boundary</w:t>
      </w:r>
    </w:p>
    <w:p>
      <w:pPr>
        <w:pStyle w:val="FirstParagraph"/>
      </w:pPr>
      <w:r>
        <w:rPr>
          <w:bCs/>
          <w:b/>
        </w:rPr>
        <w:t xml:space="preserve">LUCA never holds root identity keys.</w:t>
      </w:r>
      <w:r>
        <w:t xml:space="preserve"> </w:t>
      </w:r>
      <w:r>
        <w:t xml:space="preserve">The agent operates only under scoped, revocable</w:t>
      </w:r>
      <w:r>
        <w:t xml:space="preserve"> </w:t>
      </w:r>
      <w:r>
        <w:rPr>
          <w:rStyle w:val="VerbatimChar"/>
        </w:rPr>
        <w:t xml:space="preserve">agent_capability_grants</w:t>
      </w:r>
      <w:r>
        <w:t xml:space="preserve"> </w:t>
      </w:r>
      <w:r>
        <w:t xml:space="preserve">tied to the owner’s subject; it can neither create, rotate nor revoke</w:t>
      </w:r>
      <w:r>
        <w:t xml:space="preserve"> </w:t>
      </w:r>
      <w:r>
        <w:t xml:space="preserve">subjects or bindings. (Matches the FAQ truth:</w:t>
      </w:r>
      <w:r>
        <w:t xml:space="preserve"> </w:t>
      </w:r>
      <w:r>
        <w:t xml:space="preserve">“</w:t>
      </w:r>
      <w:r>
        <w:t xml:space="preserve">Does AI control my wallet? No.</w:t>
      </w:r>
      <w:r>
        <w:t xml:space="preserve">”</w:t>
      </w:r>
      <w:r>
        <w:t xml:space="preserve">)</w:t>
      </w:r>
    </w:p>
    <w:bookmarkEnd w:id="26"/>
    <w:bookmarkEnd w:id="27"/>
    <w:bookmarkStart w:id="28" w:name="consequences"/>
    <w:p>
      <w:pPr>
        <w:pStyle w:val="Heading2"/>
      </w:pPr>
      <w:r>
        <w:t xml:space="preserve">Consequences</w:t>
      </w:r>
    </w:p>
    <w:p>
      <w:pPr>
        <w:numPr>
          <w:ilvl w:val="0"/>
          <w:numId w:val="1008"/>
        </w:numPr>
        <w:pStyle w:val="Compact"/>
      </w:pPr>
      <w:r>
        <w:t xml:space="preserve">Users get a durable, portable, plain-language identity anchor (</w:t>
      </w:r>
      <w:r>
        <w:t xml:space="preserve">“</w:t>
      </w:r>
      <w:r>
        <w:t xml:space="preserve">Your Solaris ID</w:t>
      </w:r>
      <w:r>
        <w:t xml:space="preserve">”</w:t>
      </w:r>
      <w:r>
        <w:t xml:space="preserve">) that is</w:t>
      </w:r>
      <w:r>
        <w:t xml:space="preserve"> </w:t>
      </w:r>
      <w:r>
        <w:t xml:space="preserve">safe to show, copy and export — with technical detail behind advanced disclosures.</w:t>
      </w:r>
    </w:p>
    <w:p>
      <w:pPr>
        <w:numPr>
          <w:ilvl w:val="0"/>
          <w:numId w:val="1008"/>
        </w:numPr>
        <w:pStyle w:val="Compact"/>
      </w:pPr>
      <w:r>
        <w:t xml:space="preserve">Protocol records join on a non-PII key; email can change (or be removed from exports)</w:t>
      </w:r>
      <w:r>
        <w:t xml:space="preserve"> </w:t>
      </w:r>
      <w:r>
        <w:t xml:space="preserve">without breaking contribution history.</w:t>
      </w:r>
    </w:p>
    <w:p>
      <w:pPr>
        <w:numPr>
          <w:ilvl w:val="0"/>
          <w:numId w:val="1008"/>
        </w:numPr>
        <w:pStyle w:val="Compact"/>
      </w:pPr>
      <w:r>
        <w:t xml:space="preserve">Vault export gains a</w:t>
      </w:r>
      <w:r>
        <w:t xml:space="preserve"> </w:t>
      </w:r>
      <w:r>
        <w:rPr>
          <w:rStyle w:val="VerbatimChar"/>
        </w:rPr>
        <w:t xml:space="preserve">subject + bindings</w:t>
      </w:r>
      <w:r>
        <w:t xml:space="preserve"> </w:t>
      </w:r>
      <w:r>
        <w:t xml:space="preserve">section (PII-safe), with roundtrip test coverage.</w:t>
      </w:r>
    </w:p>
    <w:p>
      <w:pPr>
        <w:numPr>
          <w:ilvl w:val="0"/>
          <w:numId w:val="1008"/>
        </w:numPr>
        <w:pStyle w:val="Compact"/>
      </w:pPr>
      <w:r>
        <w:t xml:space="preserve">Future binding types (clinic ID, verified DID/npub/wallet flows) are additive rows, not</w:t>
      </w:r>
      <w:r>
        <w:t xml:space="preserve"> </w:t>
      </w:r>
      <w:r>
        <w:t xml:space="preserve">schema changes.</w:t>
      </w:r>
    </w:p>
    <w:bookmarkEnd w:id="28"/>
    <w:bookmarkStart w:id="29" w:name="alternatives-considered"/>
    <w:p>
      <w:pPr>
        <w:pStyle w:val="Heading2"/>
      </w:pPr>
      <w:r>
        <w:t xml:space="preserve">Alternatives considered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users.id</w:t>
      </w:r>
      <w:r>
        <w:rPr>
          <w:bCs/>
          <w:b/>
        </w:rPr>
        <w:t xml:space="preserve"> </w:t>
      </w:r>
      <w:r>
        <w:rPr>
          <w:bCs/>
          <w:b/>
        </w:rPr>
        <w:t xml:space="preserve">as the public identity</w:t>
      </w:r>
      <w:r>
        <w:t xml:space="preserve"> </w:t>
      </w:r>
      <w:r>
        <w:t xml:space="preserve">— rejected: leaks an internal DB key, no</w:t>
      </w:r>
      <w:r>
        <w:t xml:space="preserve"> </w:t>
      </w:r>
      <w:r>
        <w:t xml:space="preserve">protocol prefix, cannot decouple auth record from identity graph.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Derive the ID from email/npub</w:t>
      </w:r>
      <w:r>
        <w:t xml:space="preserve"> </w:t>
      </w:r>
      <w:r>
        <w:t xml:space="preserve">— rejected: derivation makes the</w:t>
      </w:r>
      <w:r>
        <w:t xml:space="preserve"> </w:t>
      </w:r>
      <w:r>
        <w:t xml:space="preserve">“</w:t>
      </w:r>
      <w:r>
        <w:t xml:space="preserve">identity</w:t>
      </w:r>
      <w:r>
        <w:t xml:space="preserve">”</w:t>
      </w:r>
      <w:r>
        <w:t xml:space="preserve"> </w:t>
      </w:r>
      <w:r>
        <w:t xml:space="preserve">dependent on</w:t>
      </w:r>
      <w:r>
        <w:t xml:space="preserve"> </w:t>
      </w:r>
      <w:r>
        <w:t xml:space="preserve">a replaceable, PII-bearing binding — the exact anti-pattern Constitution §6 forbids.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DB trigger for subject creation</w:t>
      </w:r>
      <w:r>
        <w:t xml:space="preserve"> </w:t>
      </w:r>
      <w:r>
        <w:t xml:space="preserve">— rejected in favor of lazy application-level</w:t>
      </w:r>
      <w:r>
        <w:t xml:space="preserve"> </w:t>
      </w:r>
      <w:r>
        <w:rPr>
          <w:rStyle w:val="VerbatimChar"/>
        </w:rPr>
        <w:t xml:space="preserve">ensureSubjectForUser</w:t>
      </w:r>
      <w:r>
        <w:t xml:space="preserve"> </w:t>
      </w:r>
      <w:r>
        <w:t xml:space="preserve">(simpler, testable, keeps migrations declarative).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2026-07-25T04:03:32Z</dcterms:created>
  <dcterms:modified xsi:type="dcterms:W3CDTF">2026-07-25T04:03:32Z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