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rPr/>
      </w:pPr>
      <w:r>
        <w:rPr/>
      </w:r>
    </w:p>
    <w:p>
      <w:pPr>
        <w:pStyle w:val="BodyText"/>
        <w:bidi w:val="0"/>
        <w:spacing w:lineRule="auto" w:line="276" w:before="0" w:after="140"/>
        <w:rPr/>
      </w:pPr>
      <w:r>
        <w:rPr/>
        <w:t>O</w:t>
      </w:r>
      <w:r>
        <w:rPr/>
        <w:t xml:space="preserve">ur broader idea combines computer vision, digital forensics, and cybersecurity. The research challenge is to turn it into a specific claim </w:t>
      </w:r>
      <w:r>
        <w:rPr/>
        <w:t>we</w:t>
      </w:r>
      <w:r>
        <w:rPr/>
        <w:t xml:space="preserve"> can test. Satellite manipulation detection already has established work, including recent datasets with diffusion edits, so the contribution needs to go beyond training a real/fake classifier. </w:t>
      </w:r>
      <w:hyperlink r:id="rId2">
        <w:r>
          <w:rPr>
            <w:rStyle w:val="Hyperlink"/>
          </w:rPr>
          <w:t>openaccess.thecvf.com</w:t>
        </w:r>
      </w:hyperlink>
    </w:p>
    <w:p>
      <w:pPr>
        <w:pStyle w:val="BodyText"/>
        <w:bidi w:val="0"/>
        <w:spacing w:lineRule="auto" w:line="276" w:before="0" w:after="140"/>
        <w:rPr/>
      </w:pPr>
      <w:r>
        <w:rPr/>
        <w:t>A suitable working title is:</w:t>
      </w:r>
    </w:p>
    <w:p>
      <w:pPr>
        <w:pStyle w:val="BodyText"/>
        <w:bidi w:val="0"/>
        <w:spacing w:lineRule="auto" w:line="276" w:before="0" w:after="140"/>
        <w:rPr/>
      </w:pPr>
      <w:r>
        <w:rPr>
          <w:rStyle w:val="Strong"/>
        </w:rPr>
        <w:t>“</w:t>
      </w:r>
      <w:r>
        <w:rPr>
          <w:rStyle w:val="Strong"/>
        </w:rPr>
        <w:t>Evidence-Grounded Tamper Localization and Provenance Verification for Satellite Imagery.”</w:t>
      </w:r>
    </w:p>
    <w:p>
      <w:pPr>
        <w:pStyle w:val="BodyText"/>
        <w:bidi w:val="0"/>
        <w:spacing w:lineRule="auto" w:line="276" w:before="0" w:after="140"/>
        <w:rPr/>
      </w:pPr>
      <w:r>
        <w:rPr/>
        <w:t>Here is how I would develop it.</w:t>
      </w:r>
    </w:p>
    <w:p>
      <w:pPr>
        <w:pStyle w:val="BodyText"/>
        <w:numPr>
          <w:ilvl w:val="0"/>
          <w:numId w:val="2"/>
        </w:numPr>
        <w:tabs>
          <w:tab w:val="clear" w:pos="709"/>
          <w:tab w:val="left" w:pos="709" w:leader="none"/>
        </w:tabs>
        <w:bidi w:val="0"/>
        <w:ind w:hanging="283" w:start="709"/>
        <w:rPr/>
      </w:pPr>
      <w:r>
        <w:rPr>
          <w:rStyle w:val="Strong"/>
        </w:rPr>
        <w:t>Define exactly what our system should establish.</w:t>
      </w:r>
    </w:p>
    <w:p>
      <w:pPr>
        <w:pStyle w:val="BodyText"/>
        <w:numPr>
          <w:ilvl w:val="0"/>
          <w:numId w:val="0"/>
        </w:numPr>
        <w:bidi w:val="0"/>
        <w:ind w:hanging="0" w:start="0"/>
        <w:rPr/>
      </w:pPr>
      <w:r>
        <w:rPr/>
        <w:t>Treat these as three separate questions:</w:t>
      </w:r>
    </w:p>
    <w:tbl>
      <w:tblPr>
        <w:tblW w:w="8929" w:type="dxa"/>
        <w:jc w:val="start"/>
        <w:tblInd w:w="709" w:type="dxa"/>
        <w:tblLayout w:type="fixed"/>
        <w:tblCellMar>
          <w:top w:w="28" w:type="dxa"/>
          <w:start w:w="28" w:type="dxa"/>
          <w:bottom w:w="28" w:type="dxa"/>
          <w:end w:w="28" w:type="dxa"/>
        </w:tblCellMar>
      </w:tblPr>
      <w:tblGrid>
        <w:gridCol w:w="1856"/>
        <w:gridCol w:w="3349"/>
        <w:gridCol w:w="3724"/>
      </w:tblGrid>
      <w:tr>
        <w:trPr>
          <w:tblHeader w:val="true"/>
        </w:trPr>
        <w:tc>
          <w:tcPr>
            <w:tcW w:w="1856" w:type="dxa"/>
            <w:tcBorders/>
            <w:vAlign w:val="center"/>
          </w:tcPr>
          <w:p>
            <w:pPr>
              <w:pStyle w:val="TableHeading"/>
              <w:suppressLineNumbers/>
              <w:bidi w:val="0"/>
              <w:jc w:val="center"/>
              <w:rPr/>
            </w:pPr>
            <w:r>
              <w:rPr/>
              <w:t>Component</w:t>
            </w:r>
          </w:p>
        </w:tc>
        <w:tc>
          <w:tcPr>
            <w:tcW w:w="3349" w:type="dxa"/>
            <w:tcBorders/>
            <w:vAlign w:val="center"/>
          </w:tcPr>
          <w:p>
            <w:pPr>
              <w:pStyle w:val="TableHeading"/>
              <w:suppressLineNumbers/>
              <w:bidi w:val="0"/>
              <w:jc w:val="center"/>
              <w:rPr/>
            </w:pPr>
            <w:r>
              <w:rPr/>
              <w:t>Question</w:t>
            </w:r>
          </w:p>
        </w:tc>
        <w:tc>
          <w:tcPr>
            <w:tcW w:w="3724" w:type="dxa"/>
            <w:tcBorders/>
            <w:vAlign w:val="center"/>
          </w:tcPr>
          <w:p>
            <w:pPr>
              <w:pStyle w:val="TableHeading"/>
              <w:suppressLineNumbers/>
              <w:bidi w:val="0"/>
              <w:jc w:val="center"/>
              <w:rPr/>
            </w:pPr>
            <w:r>
              <w:rPr/>
              <w:t>Expected output</w:t>
            </w:r>
          </w:p>
        </w:tc>
      </w:tr>
      <w:tr>
        <w:trPr/>
        <w:tc>
          <w:tcPr>
            <w:tcW w:w="1856" w:type="dxa"/>
            <w:tcBorders/>
            <w:vAlign w:val="center"/>
          </w:tcPr>
          <w:p>
            <w:pPr>
              <w:pStyle w:val="TableContents"/>
              <w:widowControl w:val="false"/>
              <w:suppressLineNumbers/>
              <w:bidi w:val="0"/>
              <w:rPr/>
            </w:pPr>
            <w:r>
              <w:rPr/>
              <w:t>Detection and localization</w:t>
            </w:r>
          </w:p>
        </w:tc>
        <w:tc>
          <w:tcPr>
            <w:tcW w:w="3349" w:type="dxa"/>
            <w:tcBorders/>
            <w:vAlign w:val="center"/>
          </w:tcPr>
          <w:p>
            <w:pPr>
              <w:pStyle w:val="TableContents"/>
              <w:widowControl w:val="false"/>
              <w:suppressLineNumbers/>
              <w:bidi w:val="0"/>
              <w:rPr/>
            </w:pPr>
            <w:r>
              <w:rPr/>
              <w:t>Does this image contain suspicious modifications, and where?</w:t>
            </w:r>
          </w:p>
        </w:tc>
        <w:tc>
          <w:tcPr>
            <w:tcW w:w="3724" w:type="dxa"/>
            <w:tcBorders/>
            <w:vAlign w:val="center"/>
          </w:tcPr>
          <w:p>
            <w:pPr>
              <w:pStyle w:val="TableContents"/>
              <w:widowControl w:val="false"/>
              <w:suppressLineNumbers/>
              <w:bidi w:val="0"/>
              <w:rPr/>
            </w:pPr>
            <w:r>
              <w:rPr/>
              <w:t>Image score and pixel-level mask</w:t>
            </w:r>
          </w:p>
        </w:tc>
      </w:tr>
      <w:tr>
        <w:trPr/>
        <w:tc>
          <w:tcPr>
            <w:tcW w:w="1856" w:type="dxa"/>
            <w:tcBorders/>
            <w:vAlign w:val="center"/>
          </w:tcPr>
          <w:p>
            <w:pPr>
              <w:pStyle w:val="TableContents"/>
              <w:widowControl w:val="false"/>
              <w:suppressLineNumbers/>
              <w:bidi w:val="0"/>
              <w:rPr/>
            </w:pPr>
            <w:r>
              <w:rPr/>
              <w:t>Provenance verification</w:t>
            </w:r>
          </w:p>
        </w:tc>
        <w:tc>
          <w:tcPr>
            <w:tcW w:w="3349" w:type="dxa"/>
            <w:tcBorders/>
            <w:vAlign w:val="center"/>
          </w:tcPr>
          <w:p>
            <w:pPr>
              <w:pStyle w:val="TableContents"/>
              <w:widowControl w:val="false"/>
              <w:suppressLineNumbers/>
              <w:bidi w:val="0"/>
              <w:rPr/>
            </w:pPr>
            <w:r>
              <w:rPr/>
              <w:t>Can its recorded source and processing history be verified?</w:t>
            </w:r>
          </w:p>
        </w:tc>
        <w:tc>
          <w:tcPr>
            <w:tcW w:w="3724" w:type="dxa"/>
            <w:tcBorders/>
            <w:vAlign w:val="center"/>
          </w:tcPr>
          <w:p>
            <w:pPr>
              <w:pStyle w:val="TableContents"/>
              <w:widowControl w:val="false"/>
              <w:suppressLineNumbers/>
              <w:bidi w:val="0"/>
              <w:rPr/>
            </w:pPr>
            <w:r>
              <w:rPr/>
              <w:t>Signature, integrity, and history checks</w:t>
            </w:r>
          </w:p>
        </w:tc>
      </w:tr>
      <w:tr>
        <w:trPr/>
        <w:tc>
          <w:tcPr>
            <w:tcW w:w="1856" w:type="dxa"/>
            <w:tcBorders/>
            <w:vAlign w:val="center"/>
          </w:tcPr>
          <w:p>
            <w:pPr>
              <w:pStyle w:val="TableContents"/>
              <w:widowControl w:val="false"/>
              <w:suppressLineNumbers/>
              <w:bidi w:val="0"/>
              <w:rPr/>
            </w:pPr>
            <w:r>
              <w:rPr/>
              <w:t>Automated assessment</w:t>
            </w:r>
          </w:p>
        </w:tc>
        <w:tc>
          <w:tcPr>
            <w:tcW w:w="3349" w:type="dxa"/>
            <w:tcBorders/>
            <w:vAlign w:val="center"/>
          </w:tcPr>
          <w:p>
            <w:pPr>
              <w:pStyle w:val="TableContents"/>
              <w:widowControl w:val="false"/>
              <w:suppressLineNumbers/>
              <w:bidi w:val="0"/>
              <w:rPr/>
            </w:pPr>
            <w:r>
              <w:rPr/>
              <w:t>What does the available evidence support?</w:t>
            </w:r>
          </w:p>
        </w:tc>
        <w:tc>
          <w:tcPr>
            <w:tcW w:w="3724" w:type="dxa"/>
            <w:tcBorders/>
            <w:vAlign w:val="center"/>
          </w:tcPr>
          <w:p>
            <w:pPr>
              <w:pStyle w:val="TableContents"/>
              <w:widowControl w:val="false"/>
              <w:suppressLineNumbers/>
              <w:bidi w:val="0"/>
              <w:rPr/>
            </w:pPr>
            <w:r>
              <w:rPr/>
              <w:t>Evidence-linked explanation, uncertainty, and unresolved questions</w:t>
            </w:r>
          </w:p>
        </w:tc>
      </w:tr>
    </w:tbl>
    <w:p>
      <w:pPr>
        <w:pStyle w:val="BodyText"/>
        <w:numPr>
          <w:ilvl w:val="0"/>
          <w:numId w:val="0"/>
        </w:numPr>
        <w:bidi w:val="0"/>
        <w:ind w:hanging="0" w:start="0"/>
        <w:rPr/>
      </w:pPr>
      <w:r>
        <w:rPr/>
      </w:r>
    </w:p>
    <w:p>
      <w:pPr>
        <w:pStyle w:val="BodyText"/>
        <w:numPr>
          <w:ilvl w:val="0"/>
          <w:numId w:val="0"/>
        </w:numPr>
        <w:bidi w:val="0"/>
        <w:ind w:hanging="0" w:start="0"/>
        <w:rPr/>
      </w:pPr>
      <w:r>
        <w:rPr/>
        <w:t xml:space="preserve">This distinction matters. C2PA provides a framework for signed content provenance, but a valid credential does not establish that the depicted scene is true. Missing credentials also cannot establish that an image is fake. </w:t>
      </w:r>
      <w:hyperlink r:id="rId3">
        <w:r>
          <w:rPr>
            <w:rStyle w:val="Hyperlink"/>
          </w:rPr>
          <w:t>spec.c2pa.org</w:t>
        </w:r>
      </w:hyperlink>
    </w:p>
    <w:p>
      <w:pPr>
        <w:pStyle w:val="BodyText"/>
        <w:numPr>
          <w:ilvl w:val="0"/>
          <w:numId w:val="0"/>
        </w:numPr>
        <w:bidi w:val="0"/>
        <w:ind w:hanging="0" w:start="0"/>
        <w:rPr/>
      </w:pPr>
      <w:r>
        <w:rPr/>
        <w:t xml:space="preserve">For the initial threat model, assume an attacker can edit image pixels and ordinary metadata, but cannot forge a trusted publisher’s signing key. </w:t>
      </w:r>
      <w:r>
        <w:rPr/>
        <w:t>O</w:t>
      </w:r>
      <w:r>
        <w:rPr/>
        <w:t>ur detector should work even when provenance is unavailable.</w:t>
      </w:r>
    </w:p>
    <w:p>
      <w:pPr>
        <w:pStyle w:val="BodyText"/>
        <w:numPr>
          <w:ilvl w:val="0"/>
          <w:numId w:val="2"/>
        </w:numPr>
        <w:tabs>
          <w:tab w:val="clear" w:pos="709"/>
          <w:tab w:val="left" w:pos="709" w:leader="none"/>
        </w:tabs>
        <w:bidi w:val="0"/>
        <w:ind w:hanging="283" w:start="709"/>
        <w:rPr/>
      </w:pPr>
      <w:r>
        <w:rPr>
          <w:rStyle w:val="Strong"/>
        </w:rPr>
        <w:t>Choose one main research question.</w:t>
      </w:r>
    </w:p>
    <w:p>
      <w:pPr>
        <w:pStyle w:val="BodyText"/>
        <w:numPr>
          <w:ilvl w:val="0"/>
          <w:numId w:val="0"/>
        </w:numPr>
        <w:bidi w:val="0"/>
        <w:ind w:hanging="0" w:start="0"/>
        <w:rPr/>
      </w:pPr>
      <w:r>
        <w:rPr/>
        <w:t>My recommendation is:</w:t>
      </w:r>
    </w:p>
    <w:p>
      <w:pPr>
        <w:pStyle w:val="BlockQuotation"/>
        <w:numPr>
          <w:ilvl w:val="0"/>
          <w:numId w:val="0"/>
        </w:numPr>
        <w:bidi w:val="0"/>
        <w:ind w:hanging="0" w:start="567"/>
        <w:rPr/>
      </w:pPr>
      <w:r>
        <w:rPr>
          <w:rStyle w:val="Strong"/>
        </w:rPr>
        <w:t>Can a satellite-image tamper detector maintain useful localization performance on unseen editing methods and geographic regions, while producing evidence-grounded assessments and abstaining when uncertain?</w:t>
      </w:r>
    </w:p>
    <w:p>
      <w:pPr>
        <w:pStyle w:val="BodyText"/>
        <w:numPr>
          <w:ilvl w:val="0"/>
          <w:numId w:val="0"/>
        </w:numPr>
        <w:bidi w:val="0"/>
        <w:ind w:hanging="0" w:start="0"/>
        <w:rPr/>
      </w:pPr>
      <w:r>
        <w:rPr/>
        <w:t>Start with high-resolution optical RGB images and three manipulation types:</w:t>
      </w:r>
    </w:p>
    <w:p>
      <w:pPr>
        <w:pStyle w:val="BodyText"/>
        <w:numPr>
          <w:ilvl w:val="1"/>
          <w:numId w:val="2"/>
        </w:numPr>
        <w:tabs>
          <w:tab w:val="clear" w:pos="709"/>
          <w:tab w:val="left" w:pos="1418" w:leader="none"/>
        </w:tabs>
        <w:bidi w:val="0"/>
        <w:spacing w:before="0" w:after="0"/>
        <w:ind w:hanging="283" w:start="1418"/>
        <w:rPr/>
      </w:pPr>
      <w:r>
        <w:rPr>
          <w:rStyle w:val="Strong"/>
        </w:rPr>
        <w:t>Object insertion:</w:t>
      </w:r>
      <w:r>
        <w:rPr/>
        <w:t xml:space="preserve"> adding buildings or other structures.</w:t>
      </w:r>
    </w:p>
    <w:p>
      <w:pPr>
        <w:pStyle w:val="BodyText"/>
        <w:numPr>
          <w:ilvl w:val="1"/>
          <w:numId w:val="2"/>
        </w:numPr>
        <w:tabs>
          <w:tab w:val="clear" w:pos="709"/>
          <w:tab w:val="left" w:pos="1418" w:leader="none"/>
        </w:tabs>
        <w:bidi w:val="0"/>
        <w:spacing w:before="0" w:after="0"/>
        <w:ind w:hanging="283" w:start="1418"/>
        <w:rPr/>
      </w:pPr>
      <w:r>
        <w:rPr>
          <w:rStyle w:val="Strong"/>
        </w:rPr>
        <w:t>Object removal:</w:t>
      </w:r>
      <w:r>
        <w:rPr/>
        <w:t xml:space="preserve"> filling the area occupied by an existing structure.</w:t>
      </w:r>
    </w:p>
    <w:p>
      <w:pPr>
        <w:pStyle w:val="BodyText"/>
        <w:numPr>
          <w:ilvl w:val="1"/>
          <w:numId w:val="2"/>
        </w:numPr>
        <w:tabs>
          <w:tab w:val="clear" w:pos="709"/>
          <w:tab w:val="left" w:pos="1418" w:leader="none"/>
        </w:tabs>
        <w:bidi w:val="0"/>
        <w:ind w:hanging="283" w:start="1418"/>
        <w:rPr/>
      </w:pPr>
      <w:r>
        <w:rPr>
          <w:rStyle w:val="Strong"/>
        </w:rPr>
        <w:t>Splicing:</w:t>
      </w:r>
      <w:r>
        <w:rPr/>
        <w:t xml:space="preserve"> inserting a region from another image.</w:t>
      </w:r>
    </w:p>
    <w:p>
      <w:pPr>
        <w:pStyle w:val="BodyText"/>
        <w:numPr>
          <w:ilvl w:val="0"/>
          <w:numId w:val="0"/>
        </w:numPr>
        <w:bidi w:val="0"/>
        <w:ind w:hanging="0" w:start="0"/>
        <w:rPr/>
      </w:pPr>
      <w:r>
        <w:rPr/>
        <w:t>Use buildings first because annotated footprints can help you generate controlled edits. Keep fully GAN-generated or diffusion-generated scenes as an additional image-level evaluation. Defer multispectral imagery, SAR, and temporal verification until the core experiment works.</w:t>
      </w:r>
    </w:p>
    <w:p>
      <w:pPr>
        <w:pStyle w:val="BodyText"/>
        <w:numPr>
          <w:ilvl w:val="0"/>
          <w:numId w:val="0"/>
        </w:numPr>
        <w:bidi w:val="0"/>
        <w:ind w:hanging="0" w:start="0"/>
        <w:rPr/>
      </w:pPr>
      <w:r>
        <w:rPr/>
        <w:t xml:space="preserve">The candidate contribution is </w:t>
      </w:r>
      <w:r>
        <w:rPr>
          <w:rStyle w:val="Strong"/>
        </w:rPr>
        <w:t>generalization plus reliable assessment</w:t>
      </w:r>
      <w:r>
        <w:rPr/>
        <w:t>. Whether it is sufficiently novel must be checked against the closest papers; adding a frequency branch or an LLM alone would not establish novelty.</w:t>
      </w:r>
    </w:p>
    <w:p>
      <w:pPr>
        <w:pStyle w:val="BodyText"/>
        <w:numPr>
          <w:ilvl w:val="0"/>
          <w:numId w:val="2"/>
        </w:numPr>
        <w:tabs>
          <w:tab w:val="clear" w:pos="709"/>
          <w:tab w:val="left" w:pos="709" w:leader="none"/>
        </w:tabs>
        <w:bidi w:val="0"/>
        <w:ind w:hanging="283" w:start="709"/>
        <w:rPr/>
      </w:pPr>
      <w:r>
        <w:rPr>
          <w:rStyle w:val="Strong"/>
        </w:rPr>
        <w:t>Read a small, targeted set of papers before building.</w:t>
      </w:r>
    </w:p>
    <w:tbl>
      <w:tblPr>
        <w:tblW w:w="8929" w:type="dxa"/>
        <w:jc w:val="start"/>
        <w:tblInd w:w="709" w:type="dxa"/>
        <w:tblLayout w:type="fixed"/>
        <w:tblCellMar>
          <w:top w:w="28" w:type="dxa"/>
          <w:start w:w="28" w:type="dxa"/>
          <w:bottom w:w="28" w:type="dxa"/>
          <w:end w:w="28" w:type="dxa"/>
        </w:tblCellMar>
      </w:tblPr>
      <w:tblGrid>
        <w:gridCol w:w="4193"/>
        <w:gridCol w:w="4736"/>
      </w:tblGrid>
      <w:tr>
        <w:trPr>
          <w:tblHeader w:val="true"/>
        </w:trPr>
        <w:tc>
          <w:tcPr>
            <w:tcW w:w="4193" w:type="dxa"/>
            <w:tcBorders/>
            <w:vAlign w:val="center"/>
          </w:tcPr>
          <w:p>
            <w:pPr>
              <w:pStyle w:val="TableHeading"/>
              <w:suppressLineNumbers/>
              <w:bidi w:val="0"/>
              <w:jc w:val="center"/>
              <w:rPr/>
            </w:pPr>
            <w:r>
              <w:rPr/>
              <w:t>Read first</w:t>
            </w:r>
          </w:p>
        </w:tc>
        <w:tc>
          <w:tcPr>
            <w:tcW w:w="4736" w:type="dxa"/>
            <w:tcBorders/>
            <w:vAlign w:val="center"/>
          </w:tcPr>
          <w:p>
            <w:pPr>
              <w:pStyle w:val="TableHeading"/>
              <w:suppressLineNumbers/>
              <w:bidi w:val="0"/>
              <w:jc w:val="center"/>
              <w:rPr/>
            </w:pPr>
            <w:r>
              <w:rPr/>
              <w:t>What to extract</w:t>
            </w:r>
          </w:p>
        </w:tc>
      </w:tr>
      <w:tr>
        <w:trPr/>
        <w:tc>
          <w:tcPr>
            <w:tcW w:w="4193" w:type="dxa"/>
            <w:tcBorders/>
            <w:vAlign w:val="center"/>
          </w:tcPr>
          <w:p>
            <w:pPr>
              <w:pStyle w:val="TableContents"/>
              <w:widowControl w:val="false"/>
              <w:suppressLineNumbers/>
              <w:bidi w:val="0"/>
              <w:rPr/>
            </w:pPr>
            <w:r>
              <w:rPr>
                <w:rStyle w:val="Strong"/>
              </w:rPr>
              <w:t>Zhao et al., “Deep fake geography?” (2021)</w:t>
            </w:r>
          </w:p>
        </w:tc>
        <w:tc>
          <w:tcPr>
            <w:tcW w:w="4736" w:type="dxa"/>
            <w:tcBorders/>
            <w:vAlign w:val="center"/>
          </w:tcPr>
          <w:p>
            <w:pPr>
              <w:pStyle w:val="TableContents"/>
              <w:widowControl w:val="false"/>
              <w:suppressLineNumbers/>
              <w:bidi w:val="0"/>
              <w:rPr/>
            </w:pPr>
            <w:r>
              <w:rPr/>
              <w:t xml:space="preserve">Problem framing and the consequences of fabricated geography. </w:t>
            </w:r>
            <w:hyperlink r:id="rId4">
              <w:r>
                <w:rPr>
                  <w:rStyle w:val="Hyperlink"/>
                </w:rPr>
                <w:t>Get Access</w:t>
              </w:r>
            </w:hyperlink>
          </w:p>
        </w:tc>
      </w:tr>
      <w:tr>
        <w:trPr/>
        <w:tc>
          <w:tcPr>
            <w:tcW w:w="4193" w:type="dxa"/>
            <w:tcBorders/>
            <w:vAlign w:val="center"/>
          </w:tcPr>
          <w:p>
            <w:pPr>
              <w:pStyle w:val="TableContents"/>
              <w:widowControl w:val="false"/>
              <w:suppressLineNumbers/>
              <w:bidi w:val="0"/>
              <w:rPr/>
            </w:pPr>
            <w:r>
              <w:rPr>
                <w:rStyle w:val="Strong"/>
              </w:rPr>
              <w:t>Horvath et al., “Manipulation Detection in Satellite Images Using Deep Belief Networks” (2020)</w:t>
            </w:r>
          </w:p>
        </w:tc>
        <w:tc>
          <w:tcPr>
            <w:tcW w:w="4736" w:type="dxa"/>
            <w:tcBorders/>
            <w:vAlign w:val="center"/>
          </w:tcPr>
          <w:p>
            <w:pPr>
              <w:pStyle w:val="TableContents"/>
              <w:widowControl w:val="false"/>
              <w:suppressLineNumbers/>
              <w:bidi w:val="0"/>
              <w:rPr/>
            </w:pPr>
            <w:r>
              <w:rPr/>
              <w:t xml:space="preserve">A satellite-specific approach that learns from authentic imagery to identify anomalous regions. </w:t>
            </w:r>
            <w:hyperlink r:id="rId5">
              <w:r>
                <w:rPr>
                  <w:rStyle w:val="Hyperlink"/>
                </w:rPr>
                <w:t>openaccess.thecvf.com</w:t>
              </w:r>
            </w:hyperlink>
          </w:p>
        </w:tc>
      </w:tr>
      <w:tr>
        <w:trPr/>
        <w:tc>
          <w:tcPr>
            <w:tcW w:w="4193" w:type="dxa"/>
            <w:tcBorders/>
            <w:vAlign w:val="center"/>
          </w:tcPr>
          <w:p>
            <w:pPr>
              <w:pStyle w:val="TableContents"/>
              <w:widowControl w:val="false"/>
              <w:suppressLineNumbers/>
              <w:bidi w:val="0"/>
              <w:rPr/>
            </w:pPr>
            <w:r>
              <w:rPr>
                <w:rStyle w:val="Strong"/>
              </w:rPr>
              <w:t>TruFor, CVPR 2023</w:t>
            </w:r>
          </w:p>
        </w:tc>
        <w:tc>
          <w:tcPr>
            <w:tcW w:w="4736" w:type="dxa"/>
            <w:tcBorders/>
            <w:vAlign w:val="center"/>
          </w:tcPr>
          <w:p>
            <w:pPr>
              <w:pStyle w:val="TableContents"/>
              <w:widowControl w:val="false"/>
              <w:suppressLineNumbers/>
              <w:bidi w:val="0"/>
              <w:rPr/>
            </w:pPr>
            <w:r>
              <w:rPr/>
              <w:t xml:space="preserve">A strong general image-forensics baseline with publicly available implementation. </w:t>
            </w:r>
            <w:hyperlink r:id="rId6">
              <w:r>
                <w:rPr>
                  <w:rStyle w:val="Hyperlink"/>
                </w:rPr>
                <w:t>grip-unina/TruFor: TruFor · GitHub</w:t>
              </w:r>
            </w:hyperlink>
          </w:p>
        </w:tc>
      </w:tr>
      <w:tr>
        <w:trPr/>
        <w:tc>
          <w:tcPr>
            <w:tcW w:w="4193" w:type="dxa"/>
            <w:tcBorders/>
            <w:vAlign w:val="center"/>
          </w:tcPr>
          <w:p>
            <w:pPr>
              <w:pStyle w:val="TableContents"/>
              <w:widowControl w:val="false"/>
              <w:suppressLineNumbers/>
              <w:bidi w:val="0"/>
              <w:rPr/>
            </w:pPr>
            <w:r>
              <w:rPr>
                <w:rStyle w:val="Strong"/>
              </w:rPr>
              <w:t>Arndt et al., “Towards a satellite image manipulation and deepfake localization benchmark dataset” (2026 preprint)</w:t>
            </w:r>
          </w:p>
        </w:tc>
        <w:tc>
          <w:tcPr>
            <w:tcW w:w="4736" w:type="dxa"/>
            <w:tcBorders/>
            <w:vAlign w:val="center"/>
          </w:tcPr>
          <w:p>
            <w:pPr>
              <w:pStyle w:val="TableContents"/>
              <w:widowControl w:val="false"/>
              <w:suppressLineNumbers/>
              <w:bidi w:val="0"/>
              <w:rPr/>
            </w:pPr>
            <w:r>
              <w:rPr/>
              <w:t xml:space="preserve">Current dataset limitations, manipulation masks, acquisition metadata, and scale-consistent edits. </w:t>
            </w:r>
            <w:hyperlink r:id="rId7">
              <w:r>
                <w:rPr>
                  <w:rStyle w:val="Hyperlink"/>
                </w:rPr>
                <w:t>arxiv.org</w:t>
              </w:r>
            </w:hyperlink>
          </w:p>
        </w:tc>
      </w:tr>
    </w:tbl>
    <w:p>
      <w:pPr>
        <w:pStyle w:val="BodyText"/>
        <w:numPr>
          <w:ilvl w:val="0"/>
          <w:numId w:val="0"/>
        </w:numPr>
        <w:bidi w:val="0"/>
        <w:ind w:hanging="0" w:start="0"/>
        <w:rPr/>
      </w:pPr>
      <w:r>
        <w:rPr/>
      </w:r>
    </w:p>
    <w:p>
      <w:pPr>
        <w:pStyle w:val="BodyText"/>
        <w:numPr>
          <w:ilvl w:val="0"/>
          <w:numId w:val="0"/>
        </w:numPr>
        <w:bidi w:val="0"/>
        <w:ind w:hanging="0" w:start="0"/>
        <w:rPr/>
      </w:pPr>
      <w:r>
        <w:rPr/>
        <w:t xml:space="preserve">Build a literature spreadsheet with: </w:t>
      </w:r>
      <w:r>
        <w:rPr>
          <w:rStyle w:val="Strong"/>
        </w:rPr>
        <w:t>data, manipulation types, localization support, geographic split, unseen-generator testing, explanations, code availability, and limitations</w:t>
      </w:r>
      <w:r>
        <w:rPr/>
        <w:t>. This will help you identify a defensible gap.</w:t>
      </w:r>
    </w:p>
    <w:p>
      <w:pPr>
        <w:pStyle w:val="BodyText"/>
        <w:numPr>
          <w:ilvl w:val="0"/>
          <w:numId w:val="2"/>
        </w:numPr>
        <w:tabs>
          <w:tab w:val="clear" w:pos="709"/>
          <w:tab w:val="left" w:pos="709" w:leader="none"/>
        </w:tabs>
        <w:bidi w:val="0"/>
        <w:ind w:hanging="283" w:start="709"/>
        <w:rPr/>
      </w:pPr>
      <w:r>
        <w:rPr>
          <w:rStyle w:val="Strong"/>
        </w:rPr>
        <w:t>Build the dataset and evaluation splits before designing a complex model.</w:t>
      </w:r>
    </w:p>
    <w:p>
      <w:pPr>
        <w:pStyle w:val="BodyText"/>
        <w:numPr>
          <w:ilvl w:val="0"/>
          <w:numId w:val="0"/>
        </w:numPr>
        <w:bidi w:val="0"/>
        <w:ind w:hanging="0" w:start="0"/>
        <w:rPr/>
      </w:pPr>
      <w:r>
        <w:rPr/>
        <w:t xml:space="preserve">Use </w:t>
      </w:r>
      <w:r>
        <w:rPr>
          <w:rStyle w:val="Strong"/>
        </w:rPr>
        <w:t>SpaceNet 2</w:t>
      </w:r>
      <w:r>
        <w:rPr/>
        <w:t xml:space="preserve"> as a source of authentic imagery and building annotations. It provides imagery from multiple cities with building footprints, making it useful for controlled building edits and geographic holdouts. Check its license when distributing derivatives. </w:t>
      </w:r>
      <w:hyperlink r:id="rId8">
        <w:r>
          <w:rPr>
            <w:rStyle w:val="Hyperlink"/>
          </w:rPr>
          <w:t>spacenet.ai</w:t>
        </w:r>
      </w:hyperlink>
    </w:p>
    <w:p>
      <w:pPr>
        <w:pStyle w:val="BodyText"/>
        <w:numPr>
          <w:ilvl w:val="0"/>
          <w:numId w:val="0"/>
        </w:numPr>
        <w:bidi w:val="0"/>
        <w:ind w:hanging="0" w:start="0"/>
        <w:rPr/>
      </w:pPr>
      <w:r>
        <w:rPr/>
        <w:t xml:space="preserve">Begin with roughly </w:t>
      </w:r>
      <w:r>
        <w:rPr>
          <w:rStyle w:val="Strong"/>
        </w:rPr>
        <w:t>200–500 source tiles</w:t>
      </w:r>
      <w:r>
        <w:rPr/>
        <w:t xml:space="preserve"> as a pilot. For each manipulated sample, retain:</w:t>
      </w:r>
    </w:p>
    <w:p>
      <w:pPr>
        <w:pStyle w:val="BodyText"/>
        <w:numPr>
          <w:ilvl w:val="1"/>
          <w:numId w:val="2"/>
        </w:numPr>
        <w:tabs>
          <w:tab w:val="clear" w:pos="709"/>
          <w:tab w:val="left" w:pos="1418" w:leader="none"/>
        </w:tabs>
        <w:bidi w:val="0"/>
        <w:spacing w:before="0" w:after="0"/>
        <w:ind w:hanging="283" w:start="1418"/>
        <w:rPr/>
      </w:pPr>
      <w:r>
        <w:rPr/>
        <w:t>Original and edited images.</w:t>
      </w:r>
    </w:p>
    <w:p>
      <w:pPr>
        <w:pStyle w:val="BodyText"/>
        <w:numPr>
          <w:ilvl w:val="1"/>
          <w:numId w:val="2"/>
        </w:numPr>
        <w:tabs>
          <w:tab w:val="clear" w:pos="709"/>
          <w:tab w:val="left" w:pos="1418" w:leader="none"/>
        </w:tabs>
        <w:bidi w:val="0"/>
        <w:spacing w:before="0" w:after="0"/>
        <w:ind w:hanging="283" w:start="1418"/>
        <w:rPr/>
      </w:pPr>
      <w:r>
        <w:rPr/>
        <w:t>Ground-truth manipulation mask.</w:t>
      </w:r>
    </w:p>
    <w:p>
      <w:pPr>
        <w:pStyle w:val="BodyText"/>
        <w:numPr>
          <w:ilvl w:val="1"/>
          <w:numId w:val="2"/>
        </w:numPr>
        <w:tabs>
          <w:tab w:val="clear" w:pos="709"/>
          <w:tab w:val="left" w:pos="1418" w:leader="none"/>
        </w:tabs>
        <w:bidi w:val="0"/>
        <w:spacing w:before="0" w:after="0"/>
        <w:ind w:hanging="283" w:start="1418"/>
        <w:rPr/>
      </w:pPr>
      <w:r>
        <w:rPr/>
        <w:t>Source scene and geographic identifier.</w:t>
      </w:r>
    </w:p>
    <w:p>
      <w:pPr>
        <w:pStyle w:val="BodyText"/>
        <w:numPr>
          <w:ilvl w:val="1"/>
          <w:numId w:val="2"/>
        </w:numPr>
        <w:tabs>
          <w:tab w:val="clear" w:pos="709"/>
          <w:tab w:val="left" w:pos="1418" w:leader="none"/>
        </w:tabs>
        <w:bidi w:val="0"/>
        <w:spacing w:before="0" w:after="0"/>
        <w:ind w:hanging="283" w:start="1418"/>
        <w:rPr/>
      </w:pPr>
      <w:r>
        <w:rPr/>
        <w:t>Editing method, model version, seed, and parameters.</w:t>
      </w:r>
    </w:p>
    <w:p>
      <w:pPr>
        <w:pStyle w:val="BodyText"/>
        <w:numPr>
          <w:ilvl w:val="1"/>
          <w:numId w:val="2"/>
        </w:numPr>
        <w:tabs>
          <w:tab w:val="clear" w:pos="709"/>
          <w:tab w:val="left" w:pos="1418" w:leader="none"/>
        </w:tabs>
        <w:bidi w:val="0"/>
        <w:ind w:hanging="283" w:start="1418"/>
        <w:rPr/>
      </w:pPr>
      <w:r>
        <w:rPr/>
        <w:t>Processing history, including resizing and compression.</w:t>
      </w:r>
    </w:p>
    <w:p>
      <w:pPr>
        <w:pStyle w:val="BodyText"/>
        <w:numPr>
          <w:ilvl w:val="0"/>
          <w:numId w:val="0"/>
        </w:numPr>
        <w:bidi w:val="0"/>
        <w:ind w:hanging="0" w:start="0"/>
        <w:rPr/>
      </w:pPr>
      <w:r>
        <w:rPr/>
        <w:t xml:space="preserve">Start with copy-paste edits to validate the pipeline, then add pretrained diffusion inpainting. </w:t>
      </w:r>
      <w:r>
        <w:rPr>
          <w:rStyle w:val="Strong"/>
        </w:rPr>
        <w:t>RSPaint</w:t>
      </w:r>
      <w:r>
        <w:rPr/>
        <w:t xml:space="preserve"> is one available remote-sensing inpainting implementation to investigate. </w:t>
      </w:r>
      <w:hyperlink r:id="rId9">
        <w:r>
          <w:rPr>
            <w:rStyle w:val="Hyperlink"/>
          </w:rPr>
          <w:t>GitHub</w:t>
        </w:r>
      </w:hyperlink>
    </w:p>
    <w:p>
      <w:pPr>
        <w:pStyle w:val="BodyText"/>
        <w:numPr>
          <w:ilvl w:val="0"/>
          <w:numId w:val="0"/>
        </w:numPr>
        <w:bidi w:val="0"/>
        <w:ind w:hanging="0" w:start="0"/>
        <w:rPr/>
      </w:pPr>
      <w:r>
        <w:rPr/>
        <w:t xml:space="preserve">Also consider </w:t>
      </w:r>
      <w:r>
        <w:rPr>
          <w:rStyle w:val="Strong"/>
        </w:rPr>
        <w:t>fmow-fake-small</w:t>
      </w:r>
      <w:r>
        <w:rPr/>
        <w:t xml:space="preserve"> for a small external evaluation. It contains 30 authentic and 30 manipulated images, with localization masks. Its authors explicitly caution that it may be unsuitable for training, and access currently requires accepting conditions and sharing contact information. Its size means results should be treated as exploratory. </w:t>
      </w:r>
      <w:hyperlink r:id="rId10">
        <w:r>
          <w:rPr>
            <w:rStyle w:val="Hyperlink"/>
          </w:rPr>
          <w:t>Datasets at Hugging Face</w:t>
        </w:r>
      </w:hyperlink>
    </w:p>
    <w:p>
      <w:pPr>
        <w:pStyle w:val="BodyText"/>
        <w:numPr>
          <w:ilvl w:val="0"/>
          <w:numId w:val="0"/>
        </w:numPr>
        <w:bidi w:val="0"/>
        <w:ind w:hanging="0" w:start="0"/>
        <w:rPr/>
      </w:pPr>
      <w:r>
        <w:rPr>
          <w:rStyle w:val="Strong"/>
        </w:rPr>
        <w:t>Split source scenes before generating edits.</w:t>
      </w:r>
      <w:r>
        <w:rPr/>
        <w:t xml:space="preserve"> Keep an original image, all its edited versions, overlapping crops, and donor material within the same partition. Otherwise, the model can effectively see test content during training.</w:t>
      </w:r>
    </w:p>
    <w:p>
      <w:pPr>
        <w:pStyle w:val="BodyText"/>
        <w:numPr>
          <w:ilvl w:val="0"/>
          <w:numId w:val="0"/>
        </w:numPr>
        <w:bidi w:val="0"/>
        <w:ind w:hanging="0" w:start="0"/>
        <w:rPr/>
      </w:pPr>
      <w:r>
        <w:rPr/>
        <w:t>Include difficult authentic examples: shadows, clouds, image seams, sharpening, compression, and unusual terrain. Apply equivalent export and preprocessing to authentic and manipulated images so file-format differences do not reveal the label.</w:t>
      </w:r>
    </w:p>
    <w:p>
      <w:pPr>
        <w:pStyle w:val="BodyText"/>
        <w:numPr>
          <w:ilvl w:val="0"/>
          <w:numId w:val="2"/>
        </w:numPr>
        <w:tabs>
          <w:tab w:val="clear" w:pos="709"/>
          <w:tab w:val="left" w:pos="709" w:leader="none"/>
        </w:tabs>
        <w:bidi w:val="0"/>
        <w:ind w:hanging="283" w:start="709"/>
        <w:rPr/>
      </w:pPr>
      <w:r>
        <w:rPr>
          <w:rStyle w:val="Strong"/>
        </w:rPr>
        <w:t>Establish baselines, then test one improvement.</w:t>
      </w:r>
    </w:p>
    <w:p>
      <w:pPr>
        <w:pStyle w:val="BodyText"/>
        <w:numPr>
          <w:ilvl w:val="0"/>
          <w:numId w:val="0"/>
        </w:numPr>
        <w:bidi w:val="0"/>
        <w:ind w:hanging="0" w:start="0"/>
        <w:rPr/>
      </w:pPr>
      <w:r>
        <w:rPr/>
        <w:t>I would use this progression:</w:t>
      </w:r>
    </w:p>
    <w:tbl>
      <w:tblPr>
        <w:tblW w:w="8929" w:type="dxa"/>
        <w:jc w:val="start"/>
        <w:tblInd w:w="709" w:type="dxa"/>
        <w:tblLayout w:type="fixed"/>
        <w:tblCellMar>
          <w:top w:w="28" w:type="dxa"/>
          <w:start w:w="28" w:type="dxa"/>
          <w:bottom w:w="28" w:type="dxa"/>
          <w:end w:w="28" w:type="dxa"/>
        </w:tblCellMar>
      </w:tblPr>
      <w:tblGrid>
        <w:gridCol w:w="2349"/>
        <w:gridCol w:w="6580"/>
      </w:tblGrid>
      <w:tr>
        <w:trPr>
          <w:tblHeader w:val="true"/>
        </w:trPr>
        <w:tc>
          <w:tcPr>
            <w:tcW w:w="2349" w:type="dxa"/>
            <w:tcBorders/>
            <w:vAlign w:val="center"/>
          </w:tcPr>
          <w:p>
            <w:pPr>
              <w:pStyle w:val="TableHeading"/>
              <w:suppressLineNumbers/>
              <w:bidi w:val="0"/>
              <w:jc w:val="center"/>
              <w:rPr/>
            </w:pPr>
            <w:r>
              <w:rPr/>
              <w:t>Experiment</w:t>
            </w:r>
          </w:p>
        </w:tc>
        <w:tc>
          <w:tcPr>
            <w:tcW w:w="6580" w:type="dxa"/>
            <w:tcBorders/>
            <w:vAlign w:val="center"/>
          </w:tcPr>
          <w:p>
            <w:pPr>
              <w:pStyle w:val="TableHeading"/>
              <w:suppressLineNumbers/>
              <w:bidi w:val="0"/>
              <w:jc w:val="center"/>
              <w:rPr/>
            </w:pPr>
            <w:r>
              <w:rPr/>
              <w:t>Purpose</w:t>
            </w:r>
          </w:p>
        </w:tc>
      </w:tr>
      <w:tr>
        <w:trPr/>
        <w:tc>
          <w:tcPr>
            <w:tcW w:w="2349" w:type="dxa"/>
            <w:tcBorders/>
            <w:vAlign w:val="center"/>
          </w:tcPr>
          <w:p>
            <w:pPr>
              <w:pStyle w:val="TableContents"/>
              <w:widowControl w:val="false"/>
              <w:suppressLineNumbers/>
              <w:bidi w:val="0"/>
              <w:rPr/>
            </w:pPr>
            <w:r>
              <w:rPr/>
              <w:t>RGB-only U-Net</w:t>
            </w:r>
          </w:p>
        </w:tc>
        <w:tc>
          <w:tcPr>
            <w:tcW w:w="6580" w:type="dxa"/>
            <w:tcBorders/>
            <w:vAlign w:val="center"/>
          </w:tcPr>
          <w:p>
            <w:pPr>
              <w:pStyle w:val="TableContents"/>
              <w:widowControl w:val="false"/>
              <w:suppressLineNumbers/>
              <w:bidi w:val="0"/>
              <w:rPr/>
            </w:pPr>
            <w:r>
              <w:rPr/>
              <w:t>Establish a simple supervised localization baseline</w:t>
            </w:r>
          </w:p>
        </w:tc>
      </w:tr>
      <w:tr>
        <w:trPr/>
        <w:tc>
          <w:tcPr>
            <w:tcW w:w="2349" w:type="dxa"/>
            <w:tcBorders/>
            <w:vAlign w:val="center"/>
          </w:tcPr>
          <w:p>
            <w:pPr>
              <w:pStyle w:val="TableContents"/>
              <w:widowControl w:val="false"/>
              <w:suppressLineNumbers/>
              <w:bidi w:val="0"/>
              <w:rPr/>
            </w:pPr>
            <w:r>
              <w:rPr/>
              <w:t>Pretrained TruFor</w:t>
            </w:r>
          </w:p>
        </w:tc>
        <w:tc>
          <w:tcPr>
            <w:tcW w:w="6580" w:type="dxa"/>
            <w:tcBorders/>
            <w:vAlign w:val="center"/>
          </w:tcPr>
          <w:p>
            <w:pPr>
              <w:pStyle w:val="TableContents"/>
              <w:widowControl w:val="false"/>
              <w:suppressLineNumbers/>
              <w:bidi w:val="0"/>
              <w:rPr/>
            </w:pPr>
            <w:r>
              <w:rPr/>
              <w:t>Measure transfer from general image forensics</w:t>
            </w:r>
          </w:p>
        </w:tc>
      </w:tr>
      <w:tr>
        <w:trPr/>
        <w:tc>
          <w:tcPr>
            <w:tcW w:w="2349" w:type="dxa"/>
            <w:tcBorders/>
            <w:vAlign w:val="center"/>
          </w:tcPr>
          <w:p>
            <w:pPr>
              <w:pStyle w:val="TableContents"/>
              <w:widowControl w:val="false"/>
              <w:suppressLineNumbers/>
              <w:bidi w:val="0"/>
              <w:rPr/>
            </w:pPr>
            <w:r>
              <w:rPr/>
              <w:t>RGB plus residual features</w:t>
            </w:r>
          </w:p>
        </w:tc>
        <w:tc>
          <w:tcPr>
            <w:tcW w:w="6580" w:type="dxa"/>
            <w:tcBorders/>
            <w:vAlign w:val="center"/>
          </w:tcPr>
          <w:p>
            <w:pPr>
              <w:pStyle w:val="TableContents"/>
              <w:widowControl w:val="false"/>
              <w:suppressLineNumbers/>
              <w:bidi w:val="0"/>
              <w:rPr/>
            </w:pPr>
            <w:r>
              <w:rPr/>
              <w:t>Test whether local texture and high-frequency inconsistencies improve generalization</w:t>
            </w:r>
          </w:p>
        </w:tc>
      </w:tr>
    </w:tbl>
    <w:p>
      <w:pPr>
        <w:pStyle w:val="BodyText"/>
        <w:numPr>
          <w:ilvl w:val="0"/>
          <w:numId w:val="0"/>
        </w:numPr>
        <w:bidi w:val="0"/>
        <w:ind w:hanging="0" w:start="0"/>
        <w:rPr/>
      </w:pPr>
      <w:r>
        <w:rPr/>
        <w:t>For your proposed model, use an RGB encoder and a small branch that receives high-pass or noise-residual features. Fuse their features into a segmentation decoder. Add an image-level detection head if needed.</w:t>
      </w:r>
    </w:p>
    <w:p>
      <w:pPr>
        <w:pStyle w:val="BodyText"/>
        <w:numPr>
          <w:ilvl w:val="0"/>
          <w:numId w:val="0"/>
        </w:numPr>
        <w:bidi w:val="0"/>
        <w:ind w:hanging="0" w:start="0"/>
        <w:rPr/>
      </w:pPr>
      <w:r>
        <w:rPr/>
        <w:t>Train with a combination of pixel-level binary cross-entropy and Dice loss, plus image-level classification loss if you use that head. Compare against a similarly sized RGB model so increased capacity does not explain the entire gain.</w:t>
      </w:r>
    </w:p>
    <w:p>
      <w:pPr>
        <w:pStyle w:val="BodyText"/>
        <w:numPr>
          <w:ilvl w:val="0"/>
          <w:numId w:val="0"/>
        </w:numPr>
        <w:bidi w:val="0"/>
        <w:ind w:hanging="0" w:start="0"/>
        <w:rPr/>
      </w:pPr>
      <w:r>
        <w:rPr/>
        <w:t xml:space="preserve">This architecture is a </w:t>
      </w:r>
      <w:r>
        <w:rPr>
          <w:rStyle w:val="Strong"/>
        </w:rPr>
        <w:t>starting hypothesis</w:t>
      </w:r>
      <w:r>
        <w:rPr/>
        <w:t>, not a guaranteed improvement. The paper should explain what the experiment establishes, including cases where residual features fail.</w:t>
      </w:r>
    </w:p>
    <w:p>
      <w:pPr>
        <w:pStyle w:val="BodyText"/>
        <w:numPr>
          <w:ilvl w:val="0"/>
          <w:numId w:val="2"/>
        </w:numPr>
        <w:tabs>
          <w:tab w:val="clear" w:pos="709"/>
          <w:tab w:val="left" w:pos="709" w:leader="none"/>
        </w:tabs>
        <w:bidi w:val="0"/>
        <w:ind w:hanging="283" w:start="709"/>
        <w:rPr/>
      </w:pPr>
      <w:r>
        <w:rPr>
          <w:rStyle w:val="Strong"/>
        </w:rPr>
        <w:t>Make “autonomous reasoning” an auditable assessment process.</w:t>
      </w:r>
    </w:p>
    <w:p>
      <w:pPr>
        <w:pStyle w:val="BodyText"/>
        <w:numPr>
          <w:ilvl w:val="0"/>
          <w:numId w:val="0"/>
        </w:numPr>
        <w:bidi w:val="0"/>
        <w:ind w:hanging="0" w:start="0"/>
        <w:rPr/>
      </w:pPr>
      <w:r>
        <w:rPr/>
        <w:t>Define autonomy as the system choosing checks, recording results, and deciding when there is insufficient evidence.</w:t>
      </w:r>
    </w:p>
    <w:p>
      <w:pPr>
        <w:pStyle w:val="BodyText"/>
        <w:numPr>
          <w:ilvl w:val="0"/>
          <w:numId w:val="0"/>
        </w:numPr>
        <w:bidi w:val="0"/>
        <w:ind w:hanging="0" w:start="0"/>
        <w:rPr/>
      </w:pPr>
      <w:r>
        <w:rPr/>
        <w:t>A practical workflow is:</w:t>
      </w:r>
    </w:p>
    <w:p>
      <w:pPr>
        <w:pStyle w:val="BodyText"/>
        <w:numPr>
          <w:ilvl w:val="0"/>
          <w:numId w:val="0"/>
        </w:numPr>
        <w:bidi w:val="0"/>
        <w:ind w:hanging="0" w:start="0"/>
        <w:rPr/>
      </w:pPr>
      <w:r>
        <w:rPr>
          <w:rStyle w:val="Strong"/>
        </w:rPr>
        <w:t>Inspect metadata and credentials → run localization → examine flagged regions → retrieve reference evidence if available → produce a structured assessment.</w:t>
      </w:r>
    </w:p>
    <w:p>
      <w:pPr>
        <w:pStyle w:val="BodyText"/>
        <w:numPr>
          <w:ilvl w:val="0"/>
          <w:numId w:val="0"/>
        </w:numPr>
        <w:bidi w:val="0"/>
        <w:ind w:hanging="0" w:start="0"/>
        <w:rPr/>
      </w:pPr>
      <w:r>
        <w:rPr/>
        <w:t>Start with a deterministic controller and report templates. Later, an LLM can verbalize the structured results. Every factual statement should refer to an actual tool result or retrieved source.</w:t>
      </w:r>
    </w:p>
    <w:p>
      <w:pPr>
        <w:pStyle w:val="BodyText"/>
        <w:numPr>
          <w:ilvl w:val="0"/>
          <w:numId w:val="0"/>
        </w:numPr>
        <w:bidi w:val="0"/>
        <w:ind w:hanging="0" w:start="0"/>
        <w:rPr/>
      </w:pPr>
      <w:r>
        <w:rPr/>
        <w:t>An illustrative output could be:</w:t>
      </w:r>
    </w:p>
    <w:p>
      <w:pPr>
        <w:pStyle w:val="BlockQuotation"/>
        <w:numPr>
          <w:ilvl w:val="0"/>
          <w:numId w:val="0"/>
        </w:numPr>
        <w:bidi w:val="0"/>
        <w:ind w:hanging="0" w:start="567"/>
        <w:rPr/>
      </w:pPr>
      <w:r>
        <w:rPr/>
        <w:t>“</w:t>
      </w:r>
      <w:r>
        <w:rPr/>
        <w:t>Region R1 was flagged by the localization model. The residual-analysis check also identified an anomaly in that region. No verifiable provenance record or independent reference image was available. Assessment: suspected manipulation; edit mechanism and source remain unresolved.”</w:t>
      </w:r>
    </w:p>
    <w:p>
      <w:pPr>
        <w:pStyle w:val="BodyText"/>
        <w:numPr>
          <w:ilvl w:val="0"/>
          <w:numId w:val="0"/>
        </w:numPr>
        <w:bidi w:val="0"/>
        <w:ind w:hanging="0" w:start="0"/>
        <w:rPr/>
      </w:pPr>
      <w:r>
        <w:rPr/>
        <w:t>Avoid claiming “a building was removed” from a suspicious patch alone. That stronger conclusion generally needs an original image, a reliable reference, or independently validated evidence.</w:t>
      </w:r>
    </w:p>
    <w:p>
      <w:pPr>
        <w:pStyle w:val="BodyText"/>
        <w:numPr>
          <w:ilvl w:val="0"/>
          <w:numId w:val="0"/>
        </w:numPr>
        <w:bidi w:val="0"/>
        <w:ind w:hanging="0" w:start="0"/>
        <w:rPr/>
      </w:pPr>
      <w:r>
        <w:rPr/>
        <w:t xml:space="preserve">For the provenance prototype, record image hashes, parent-image identifiers, processing operations, and signatures. </w:t>
      </w:r>
      <w:r>
        <w:rPr>
          <w:rStyle w:val="Strong"/>
        </w:rPr>
        <w:t>Signing images yourself establishes history from your ingestion point onward; it does not authenticate the original satellite capture.</w:t>
      </w:r>
    </w:p>
    <w:p>
      <w:pPr>
        <w:pStyle w:val="BodyText"/>
        <w:numPr>
          <w:ilvl w:val="0"/>
          <w:numId w:val="0"/>
        </w:numPr>
        <w:bidi w:val="0"/>
        <w:ind w:hanging="0" w:start="0"/>
        <w:rPr/>
      </w:pPr>
      <w:r>
        <w:rPr/>
        <w:t>Evaluate valid, missing, stripped, and invalid provenance, including correctly signed synthetic imagery. Keep provenance status separate from the visual detector score.</w:t>
      </w:r>
    </w:p>
    <w:p>
      <w:pPr>
        <w:pStyle w:val="BodyText"/>
        <w:numPr>
          <w:ilvl w:val="0"/>
          <w:numId w:val="2"/>
        </w:numPr>
        <w:tabs>
          <w:tab w:val="clear" w:pos="709"/>
          <w:tab w:val="left" w:pos="709" w:leader="none"/>
        </w:tabs>
        <w:bidi w:val="0"/>
        <w:ind w:hanging="283" w:start="709"/>
        <w:rPr/>
      </w:pPr>
      <w:r>
        <w:rPr>
          <w:rStyle w:val="Strong"/>
        </w:rPr>
        <w:t>Design experiments that could disprove your hypothesis.</w:t>
      </w:r>
    </w:p>
    <w:p>
      <w:pPr>
        <w:pStyle w:val="BodyText"/>
        <w:numPr>
          <w:ilvl w:val="0"/>
          <w:numId w:val="0"/>
        </w:numPr>
        <w:bidi w:val="0"/>
        <w:ind w:hanging="0" w:start="0"/>
        <w:rPr/>
      </w:pPr>
      <w:r>
        <w:rPr/>
        <w:t>The strongest evaluation would include:</w:t>
      </w:r>
    </w:p>
    <w:tbl>
      <w:tblPr>
        <w:tblW w:w="8771" w:type="dxa"/>
        <w:jc w:val="start"/>
        <w:tblInd w:w="709" w:type="dxa"/>
        <w:tblLayout w:type="fixed"/>
        <w:tblCellMar>
          <w:top w:w="28" w:type="dxa"/>
          <w:start w:w="28" w:type="dxa"/>
          <w:bottom w:w="28" w:type="dxa"/>
          <w:end w:w="28" w:type="dxa"/>
        </w:tblCellMar>
      </w:tblPr>
      <w:tblGrid>
        <w:gridCol w:w="3372"/>
        <w:gridCol w:w="5399"/>
      </w:tblGrid>
      <w:tr>
        <w:trPr>
          <w:tblHeader w:val="true"/>
        </w:trPr>
        <w:tc>
          <w:tcPr>
            <w:tcW w:w="3372" w:type="dxa"/>
            <w:tcBorders/>
            <w:vAlign w:val="center"/>
          </w:tcPr>
          <w:p>
            <w:pPr>
              <w:pStyle w:val="TableHeading"/>
              <w:suppressLineNumbers/>
              <w:bidi w:val="0"/>
              <w:jc w:val="center"/>
              <w:rPr/>
            </w:pPr>
            <w:r>
              <w:rPr/>
              <w:t>Experiment</w:t>
            </w:r>
          </w:p>
        </w:tc>
        <w:tc>
          <w:tcPr>
            <w:tcW w:w="5399" w:type="dxa"/>
            <w:tcBorders/>
            <w:vAlign w:val="center"/>
          </w:tcPr>
          <w:p>
            <w:pPr>
              <w:pStyle w:val="TableHeading"/>
              <w:suppressLineNumbers/>
              <w:bidi w:val="0"/>
              <w:jc w:val="center"/>
              <w:rPr/>
            </w:pPr>
            <w:r>
              <w:rPr/>
              <w:t>What it tests</w:t>
            </w:r>
          </w:p>
        </w:tc>
      </w:tr>
      <w:tr>
        <w:trPr/>
        <w:tc>
          <w:tcPr>
            <w:tcW w:w="3372" w:type="dxa"/>
            <w:tcBorders/>
            <w:vAlign w:val="center"/>
          </w:tcPr>
          <w:p>
            <w:pPr>
              <w:pStyle w:val="TableContents"/>
              <w:widowControl w:val="false"/>
              <w:suppressLineNumbers/>
              <w:bidi w:val="0"/>
              <w:rPr/>
            </w:pPr>
            <w:r>
              <w:rPr/>
              <w:t>Held-out geographic region</w:t>
            </w:r>
          </w:p>
        </w:tc>
        <w:tc>
          <w:tcPr>
            <w:tcW w:w="5399" w:type="dxa"/>
            <w:tcBorders/>
            <w:vAlign w:val="center"/>
          </w:tcPr>
          <w:p>
            <w:pPr>
              <w:pStyle w:val="TableContents"/>
              <w:widowControl w:val="false"/>
              <w:suppressLineNumbers/>
              <w:bidi w:val="0"/>
              <w:rPr/>
            </w:pPr>
            <w:r>
              <w:rPr/>
              <w:t>Whether the model generalizes beyond familiar terrain</w:t>
            </w:r>
          </w:p>
        </w:tc>
      </w:tr>
      <w:tr>
        <w:trPr/>
        <w:tc>
          <w:tcPr>
            <w:tcW w:w="3372" w:type="dxa"/>
            <w:tcBorders/>
            <w:vAlign w:val="center"/>
          </w:tcPr>
          <w:p>
            <w:pPr>
              <w:pStyle w:val="TableContents"/>
              <w:widowControl w:val="false"/>
              <w:suppressLineNumbers/>
              <w:bidi w:val="0"/>
              <w:rPr/>
            </w:pPr>
            <w:r>
              <w:rPr/>
              <w:t>Held-out editing model</w:t>
            </w:r>
          </w:p>
        </w:tc>
        <w:tc>
          <w:tcPr>
            <w:tcW w:w="5399" w:type="dxa"/>
            <w:tcBorders/>
            <w:vAlign w:val="center"/>
          </w:tcPr>
          <w:p>
            <w:pPr>
              <w:pStyle w:val="TableContents"/>
              <w:widowControl w:val="false"/>
              <w:suppressLineNumbers/>
              <w:bidi w:val="0"/>
              <w:rPr/>
            </w:pPr>
            <w:r>
              <w:rPr/>
              <w:t>Whether it detects methods absent from training</w:t>
            </w:r>
          </w:p>
        </w:tc>
      </w:tr>
      <w:tr>
        <w:trPr/>
        <w:tc>
          <w:tcPr>
            <w:tcW w:w="3372" w:type="dxa"/>
            <w:tcBorders/>
            <w:vAlign w:val="center"/>
          </w:tcPr>
          <w:p>
            <w:pPr>
              <w:pStyle w:val="TableContents"/>
              <w:widowControl w:val="false"/>
              <w:suppressLineNumbers/>
              <w:bidi w:val="0"/>
              <w:rPr/>
            </w:pPr>
            <w:r>
              <w:rPr/>
              <w:t>Compression and resizing</w:t>
            </w:r>
          </w:p>
        </w:tc>
        <w:tc>
          <w:tcPr>
            <w:tcW w:w="5399" w:type="dxa"/>
            <w:tcBorders/>
            <w:vAlign w:val="center"/>
          </w:tcPr>
          <w:p>
            <w:pPr>
              <w:pStyle w:val="TableContents"/>
              <w:widowControl w:val="false"/>
              <w:suppressLineNumbers/>
              <w:bidi w:val="0"/>
              <w:rPr/>
            </w:pPr>
            <w:r>
              <w:rPr/>
              <w:t>Whether performance survives ordinary redistribution</w:t>
            </w:r>
          </w:p>
        </w:tc>
      </w:tr>
      <w:tr>
        <w:trPr/>
        <w:tc>
          <w:tcPr>
            <w:tcW w:w="3372" w:type="dxa"/>
            <w:tcBorders/>
            <w:vAlign w:val="center"/>
          </w:tcPr>
          <w:p>
            <w:pPr>
              <w:pStyle w:val="TableContents"/>
              <w:widowControl w:val="false"/>
              <w:suppressLineNumbers/>
              <w:bidi w:val="0"/>
              <w:rPr/>
            </w:pPr>
            <w:r>
              <w:rPr/>
              <w:t>Small manipulated regions</w:t>
            </w:r>
          </w:p>
        </w:tc>
        <w:tc>
          <w:tcPr>
            <w:tcW w:w="5399" w:type="dxa"/>
            <w:tcBorders/>
            <w:vAlign w:val="center"/>
          </w:tcPr>
          <w:p>
            <w:pPr>
              <w:pStyle w:val="TableContents"/>
              <w:widowControl w:val="false"/>
              <w:suppressLineNumbers/>
              <w:bidi w:val="0"/>
              <w:rPr/>
            </w:pPr>
            <w:r>
              <w:rPr/>
              <w:t>Whether it detects subtle edits</w:t>
            </w:r>
          </w:p>
        </w:tc>
      </w:tr>
      <w:tr>
        <w:trPr/>
        <w:tc>
          <w:tcPr>
            <w:tcW w:w="3372" w:type="dxa"/>
            <w:tcBorders/>
            <w:vAlign w:val="center"/>
          </w:tcPr>
          <w:p>
            <w:pPr>
              <w:pStyle w:val="TableContents"/>
              <w:widowControl w:val="false"/>
              <w:suppressLineNumbers/>
              <w:bidi w:val="0"/>
              <w:rPr/>
            </w:pPr>
            <w:r>
              <w:rPr/>
              <w:t>Difficult authentic imagery</w:t>
            </w:r>
          </w:p>
        </w:tc>
        <w:tc>
          <w:tcPr>
            <w:tcW w:w="5399" w:type="dxa"/>
            <w:tcBorders/>
            <w:vAlign w:val="center"/>
          </w:tcPr>
          <w:p>
            <w:pPr>
              <w:pStyle w:val="TableContents"/>
              <w:widowControl w:val="false"/>
              <w:suppressLineNumbers/>
              <w:bidi w:val="0"/>
              <w:rPr/>
            </w:pPr>
            <w:r>
              <w:rPr/>
              <w:t>Whether normal processing causes false alarms</w:t>
            </w:r>
          </w:p>
        </w:tc>
      </w:tr>
      <w:tr>
        <w:trPr/>
        <w:tc>
          <w:tcPr>
            <w:tcW w:w="3372" w:type="dxa"/>
            <w:tcBorders/>
            <w:vAlign w:val="center"/>
          </w:tcPr>
          <w:p>
            <w:pPr>
              <w:pStyle w:val="TableContents"/>
              <w:widowControl w:val="false"/>
              <w:suppressLineNumbers/>
              <w:bidi w:val="0"/>
              <w:rPr/>
            </w:pPr>
            <w:r>
              <w:rPr/>
              <w:t>Removing individual components</w:t>
            </w:r>
          </w:p>
        </w:tc>
        <w:tc>
          <w:tcPr>
            <w:tcW w:w="5399" w:type="dxa"/>
            <w:tcBorders/>
            <w:vAlign w:val="center"/>
          </w:tcPr>
          <w:p>
            <w:pPr>
              <w:pStyle w:val="TableContents"/>
              <w:widowControl w:val="false"/>
              <w:suppressLineNumbers/>
              <w:bidi w:val="0"/>
              <w:rPr/>
            </w:pPr>
            <w:r>
              <w:rPr/>
              <w:t>Whether each proposed component contributes</w:t>
            </w:r>
          </w:p>
        </w:tc>
      </w:tr>
    </w:tbl>
    <w:p>
      <w:pPr>
        <w:pStyle w:val="BodyText"/>
        <w:numPr>
          <w:ilvl w:val="0"/>
          <w:numId w:val="0"/>
        </w:numPr>
        <w:bidi w:val="0"/>
        <w:ind w:hanging="0" w:start="0"/>
        <w:rPr/>
      </w:pPr>
      <w:r>
        <w:rPr/>
        <w:t>If claiming unseen-generator generalization, use an independently held-out model or family—not merely new prompts or random seeds.</w:t>
      </w:r>
    </w:p>
    <w:p>
      <w:pPr>
        <w:pStyle w:val="BodyText"/>
        <w:numPr>
          <w:ilvl w:val="0"/>
          <w:numId w:val="0"/>
        </w:numPr>
        <w:bidi w:val="0"/>
        <w:ind w:hanging="0" w:start="0"/>
        <w:rPr/>
      </w:pPr>
      <w:r>
        <w:rPr/>
        <w:t>Report:</w:t>
      </w:r>
    </w:p>
    <w:p>
      <w:pPr>
        <w:pStyle w:val="BodyText"/>
        <w:numPr>
          <w:ilvl w:val="1"/>
          <w:numId w:val="2"/>
        </w:numPr>
        <w:tabs>
          <w:tab w:val="clear" w:pos="709"/>
          <w:tab w:val="left" w:pos="1418" w:leader="none"/>
        </w:tabs>
        <w:bidi w:val="0"/>
        <w:spacing w:before="0" w:after="0"/>
        <w:ind w:hanging="283" w:start="1418"/>
        <w:rPr/>
      </w:pPr>
      <w:r>
        <w:rPr>
          <w:rStyle w:val="Strong"/>
        </w:rPr>
        <w:t>Detection:</w:t>
      </w:r>
      <w:r>
        <w:rPr/>
        <w:t xml:space="preserve"> precision–recall AUC and recall at a fixed false-positive rate.</w:t>
      </w:r>
    </w:p>
    <w:p>
      <w:pPr>
        <w:pStyle w:val="BodyText"/>
        <w:numPr>
          <w:ilvl w:val="1"/>
          <w:numId w:val="2"/>
        </w:numPr>
        <w:tabs>
          <w:tab w:val="clear" w:pos="709"/>
          <w:tab w:val="left" w:pos="1418" w:leader="none"/>
        </w:tabs>
        <w:bidi w:val="0"/>
        <w:spacing w:before="0" w:after="0"/>
        <w:ind w:hanging="283" w:start="1418"/>
        <w:rPr/>
      </w:pPr>
      <w:r>
        <w:rPr>
          <w:rStyle w:val="Strong"/>
        </w:rPr>
        <w:t>Localization:</w:t>
      </w:r>
      <w:r>
        <w:rPr/>
        <w:t xml:space="preserve"> IoU and pixel-level F1, broken down by edit size.</w:t>
      </w:r>
    </w:p>
    <w:p>
      <w:pPr>
        <w:pStyle w:val="BodyText"/>
        <w:numPr>
          <w:ilvl w:val="1"/>
          <w:numId w:val="2"/>
        </w:numPr>
        <w:tabs>
          <w:tab w:val="clear" w:pos="709"/>
          <w:tab w:val="left" w:pos="1418" w:leader="none"/>
        </w:tabs>
        <w:bidi w:val="0"/>
        <w:spacing w:before="0" w:after="0"/>
        <w:ind w:hanging="283" w:start="1418"/>
        <w:rPr/>
      </w:pPr>
      <w:r>
        <w:rPr>
          <w:rStyle w:val="Strong"/>
        </w:rPr>
        <w:t>Uncertainty:</w:t>
      </w:r>
      <w:r>
        <w:rPr/>
        <w:t xml:space="preserve"> calibration and error rate as the system abstains on more cases.</w:t>
      </w:r>
    </w:p>
    <w:p>
      <w:pPr>
        <w:pStyle w:val="BodyText"/>
        <w:numPr>
          <w:ilvl w:val="1"/>
          <w:numId w:val="2"/>
        </w:numPr>
        <w:tabs>
          <w:tab w:val="clear" w:pos="709"/>
          <w:tab w:val="left" w:pos="1418" w:leader="none"/>
        </w:tabs>
        <w:bidi w:val="0"/>
        <w:ind w:hanging="283" w:start="1418"/>
        <w:rPr/>
      </w:pPr>
      <w:r>
        <w:rPr>
          <w:rStyle w:val="Strong"/>
        </w:rPr>
        <w:t>Explanation quality:</w:t>
      </w:r>
      <w:r>
        <w:rPr/>
        <w:t xml:space="preserve"> unsupported-claim rate, correct evidence references, and appropriate uncertainty.</w:t>
      </w:r>
    </w:p>
    <w:p>
      <w:pPr>
        <w:pStyle w:val="BodyText"/>
        <w:numPr>
          <w:ilvl w:val="0"/>
          <w:numId w:val="0"/>
        </w:numPr>
        <w:bidi w:val="0"/>
        <w:ind w:hanging="0" w:start="0"/>
        <w:rPr/>
      </w:pPr>
      <w:r>
        <w:rPr/>
        <w:t>Select thresholds on validation data, then freeze them. Report variation across runs and confidence intervals grouped by source scene. Measure explanation quality separately: a plausible explanation can accompany an incorrect detection.</w:t>
      </w:r>
    </w:p>
    <w:p>
      <w:pPr>
        <w:pStyle w:val="BodyText"/>
        <w:numPr>
          <w:ilvl w:val="0"/>
          <w:numId w:val="2"/>
        </w:numPr>
        <w:tabs>
          <w:tab w:val="clear" w:pos="709"/>
          <w:tab w:val="left" w:pos="709" w:leader="none"/>
        </w:tabs>
        <w:bidi w:val="0"/>
        <w:ind w:hanging="283" w:start="709"/>
        <w:rPr/>
      </w:pPr>
      <w:r>
        <w:rPr>
          <w:rStyle w:val="Strong"/>
        </w:rPr>
        <w:t>Work toward a small result first, then expand.</w:t>
      </w:r>
    </w:p>
    <w:p>
      <w:pPr>
        <w:pStyle w:val="BodyText"/>
        <w:numPr>
          <w:ilvl w:val="0"/>
          <w:numId w:val="0"/>
        </w:numPr>
        <w:bidi w:val="0"/>
        <w:ind w:hanging="0" w:start="0"/>
        <w:rPr/>
      </w:pPr>
      <w:r>
        <w:rPr/>
        <w:t xml:space="preserve">Assuming basic Python and deep-learning familiarity, this is a reasonable </w:t>
      </w:r>
      <w:r>
        <w:rPr>
          <w:rStyle w:val="Strong"/>
        </w:rPr>
        <w:t>12–16 week planning estimate</w:t>
      </w:r>
      <w:r>
        <w:rPr/>
        <w:t>:</w:t>
      </w:r>
    </w:p>
    <w:tbl>
      <w:tblPr>
        <w:tblW w:w="8775" w:type="dxa"/>
        <w:jc w:val="start"/>
        <w:tblInd w:w="709" w:type="dxa"/>
        <w:tblLayout w:type="fixed"/>
        <w:tblCellMar>
          <w:top w:w="28" w:type="dxa"/>
          <w:start w:w="28" w:type="dxa"/>
          <w:bottom w:w="28" w:type="dxa"/>
          <w:end w:w="28" w:type="dxa"/>
        </w:tblCellMar>
      </w:tblPr>
      <w:tblGrid>
        <w:gridCol w:w="1414"/>
        <w:gridCol w:w="7361"/>
      </w:tblGrid>
      <w:tr>
        <w:trPr>
          <w:tblHeader w:val="true"/>
        </w:trPr>
        <w:tc>
          <w:tcPr>
            <w:tcW w:w="1414" w:type="dxa"/>
            <w:tcBorders/>
            <w:vAlign w:val="center"/>
          </w:tcPr>
          <w:p>
            <w:pPr>
              <w:pStyle w:val="TableHeading"/>
              <w:suppressLineNumbers/>
              <w:bidi w:val="0"/>
              <w:jc w:val="center"/>
              <w:rPr/>
            </w:pPr>
            <w:r>
              <w:rPr/>
              <w:t>Period</w:t>
            </w:r>
          </w:p>
        </w:tc>
        <w:tc>
          <w:tcPr>
            <w:tcW w:w="7361" w:type="dxa"/>
            <w:tcBorders/>
            <w:vAlign w:val="center"/>
          </w:tcPr>
          <w:p>
            <w:pPr>
              <w:pStyle w:val="TableHeading"/>
              <w:suppressLineNumbers/>
              <w:bidi w:val="0"/>
              <w:jc w:val="center"/>
              <w:rPr/>
            </w:pPr>
            <w:r>
              <w:rPr/>
              <w:t>Deliverable</w:t>
            </w:r>
          </w:p>
        </w:tc>
      </w:tr>
      <w:tr>
        <w:trPr/>
        <w:tc>
          <w:tcPr>
            <w:tcW w:w="1414" w:type="dxa"/>
            <w:tcBorders/>
            <w:vAlign w:val="center"/>
          </w:tcPr>
          <w:p>
            <w:pPr>
              <w:pStyle w:val="TableContents"/>
              <w:widowControl w:val="false"/>
              <w:suppressLineNumbers/>
              <w:bidi w:val="0"/>
              <w:rPr/>
            </w:pPr>
            <w:r>
              <w:rPr/>
              <w:t>Weeks 1–2</w:t>
            </w:r>
          </w:p>
        </w:tc>
        <w:tc>
          <w:tcPr>
            <w:tcW w:w="7361" w:type="dxa"/>
            <w:tcBorders/>
            <w:vAlign w:val="center"/>
          </w:tcPr>
          <w:p>
            <w:pPr>
              <w:pStyle w:val="TableContents"/>
              <w:widowControl w:val="false"/>
              <w:suppressLineNumbers/>
              <w:bidi w:val="0"/>
              <w:rPr/>
            </w:pPr>
            <w:r>
              <w:rPr/>
              <w:t>Literature matrix, threat model, pilot dataset, fixed splits</w:t>
            </w:r>
          </w:p>
        </w:tc>
      </w:tr>
      <w:tr>
        <w:trPr/>
        <w:tc>
          <w:tcPr>
            <w:tcW w:w="1414" w:type="dxa"/>
            <w:tcBorders/>
            <w:vAlign w:val="center"/>
          </w:tcPr>
          <w:p>
            <w:pPr>
              <w:pStyle w:val="TableContents"/>
              <w:widowControl w:val="false"/>
              <w:suppressLineNumbers/>
              <w:bidi w:val="0"/>
              <w:rPr/>
            </w:pPr>
            <w:r>
              <w:rPr/>
              <w:t>Weeks 3–4</w:t>
            </w:r>
          </w:p>
        </w:tc>
        <w:tc>
          <w:tcPr>
            <w:tcW w:w="7361" w:type="dxa"/>
            <w:tcBorders/>
            <w:vAlign w:val="center"/>
          </w:tcPr>
          <w:p>
            <w:pPr>
              <w:pStyle w:val="TableContents"/>
              <w:widowControl w:val="false"/>
              <w:suppressLineNumbers/>
              <w:bidi w:val="0"/>
              <w:rPr/>
            </w:pPr>
            <w:r>
              <w:rPr/>
              <w:t>Working localization baseline and error analysis</w:t>
            </w:r>
          </w:p>
        </w:tc>
      </w:tr>
      <w:tr>
        <w:trPr/>
        <w:tc>
          <w:tcPr>
            <w:tcW w:w="1414" w:type="dxa"/>
            <w:tcBorders/>
            <w:vAlign w:val="center"/>
          </w:tcPr>
          <w:p>
            <w:pPr>
              <w:pStyle w:val="TableContents"/>
              <w:widowControl w:val="false"/>
              <w:suppressLineNumbers/>
              <w:bidi w:val="0"/>
              <w:rPr/>
            </w:pPr>
            <w:r>
              <w:rPr/>
              <w:t>Weeks 5–8</w:t>
            </w:r>
          </w:p>
        </w:tc>
        <w:tc>
          <w:tcPr>
            <w:tcW w:w="7361" w:type="dxa"/>
            <w:tcBorders/>
            <w:vAlign w:val="center"/>
          </w:tcPr>
          <w:p>
            <w:pPr>
              <w:pStyle w:val="TableContents"/>
              <w:widowControl w:val="false"/>
              <w:suppressLineNumbers/>
              <w:bidi w:val="0"/>
              <w:rPr/>
            </w:pPr>
            <w:r>
              <w:rPr/>
              <w:t>Diffusion edits, proposed improvement, geographic and generator holdouts</w:t>
            </w:r>
          </w:p>
        </w:tc>
      </w:tr>
      <w:tr>
        <w:trPr/>
        <w:tc>
          <w:tcPr>
            <w:tcW w:w="1414" w:type="dxa"/>
            <w:tcBorders/>
            <w:vAlign w:val="center"/>
          </w:tcPr>
          <w:p>
            <w:pPr>
              <w:pStyle w:val="TableContents"/>
              <w:widowControl w:val="false"/>
              <w:suppressLineNumbers/>
              <w:bidi w:val="0"/>
              <w:rPr/>
            </w:pPr>
            <w:r>
              <w:rPr/>
              <w:t>Weeks 9–10</w:t>
            </w:r>
          </w:p>
        </w:tc>
        <w:tc>
          <w:tcPr>
            <w:tcW w:w="7361" w:type="dxa"/>
            <w:tcBorders/>
            <w:vAlign w:val="center"/>
          </w:tcPr>
          <w:p>
            <w:pPr>
              <w:pStyle w:val="TableContents"/>
              <w:widowControl w:val="false"/>
              <w:suppressLineNumbers/>
              <w:bidi w:val="0"/>
              <w:rPr/>
            </w:pPr>
            <w:r>
              <w:rPr/>
              <w:t>Provenance checks and evidence-grounded reporting</w:t>
            </w:r>
          </w:p>
        </w:tc>
      </w:tr>
      <w:tr>
        <w:trPr/>
        <w:tc>
          <w:tcPr>
            <w:tcW w:w="1414" w:type="dxa"/>
            <w:tcBorders/>
            <w:vAlign w:val="center"/>
          </w:tcPr>
          <w:p>
            <w:pPr>
              <w:pStyle w:val="TableContents"/>
              <w:widowControl w:val="false"/>
              <w:suppressLineNumbers/>
              <w:bidi w:val="0"/>
              <w:rPr/>
            </w:pPr>
            <w:r>
              <w:rPr/>
              <w:t>Weeks 11–13</w:t>
            </w:r>
          </w:p>
        </w:tc>
        <w:tc>
          <w:tcPr>
            <w:tcW w:w="7361" w:type="dxa"/>
            <w:tcBorders/>
            <w:vAlign w:val="center"/>
          </w:tcPr>
          <w:p>
            <w:pPr>
              <w:pStyle w:val="TableContents"/>
              <w:widowControl w:val="false"/>
              <w:suppressLineNumbers/>
              <w:bidi w:val="0"/>
              <w:rPr/>
            </w:pPr>
            <w:r>
              <w:rPr/>
              <w:t>Ablations, robustness, calibration, explanation evaluation</w:t>
            </w:r>
          </w:p>
        </w:tc>
      </w:tr>
      <w:tr>
        <w:trPr/>
        <w:tc>
          <w:tcPr>
            <w:tcW w:w="1414" w:type="dxa"/>
            <w:tcBorders/>
            <w:vAlign w:val="center"/>
          </w:tcPr>
          <w:p>
            <w:pPr>
              <w:pStyle w:val="TableContents"/>
              <w:widowControl w:val="false"/>
              <w:suppressLineNumbers/>
              <w:bidi w:val="0"/>
              <w:rPr/>
            </w:pPr>
            <w:r>
              <w:rPr/>
              <w:t>Weeks 14–16</w:t>
            </w:r>
          </w:p>
        </w:tc>
        <w:tc>
          <w:tcPr>
            <w:tcW w:w="7361" w:type="dxa"/>
            <w:tcBorders/>
            <w:vAlign w:val="center"/>
          </w:tcPr>
          <w:p>
            <w:pPr>
              <w:pStyle w:val="TableContents"/>
              <w:widowControl w:val="false"/>
              <w:suppressLineNumbers/>
              <w:bidi w:val="0"/>
              <w:rPr/>
            </w:pPr>
            <w:r>
              <w:rPr/>
              <w:t>Paper, figures, reproducible code, and dataset documentation</w:t>
            </w:r>
          </w:p>
        </w:tc>
      </w:tr>
    </w:tbl>
    <w:p>
      <w:pPr>
        <w:pStyle w:val="BodyText"/>
        <w:numPr>
          <w:ilvl w:val="0"/>
          <w:numId w:val="0"/>
        </w:numPr>
        <w:bidi w:val="0"/>
        <w:ind w:hanging="0" w:start="0"/>
        <w:rPr/>
      </w:pPr>
      <w:r>
        <w:rPr/>
        <w:t>A practical starting stack is Python, PyTorch, Rasterio, OpenCV, and QGIS for inspection. Prefer pretrained models and small batches; benchmark memory needs on the pilot before scaling up.</w:t>
      </w:r>
    </w:p>
    <w:p>
      <w:pPr>
        <w:pStyle w:val="BodyText"/>
        <w:bidi w:val="0"/>
        <w:spacing w:before="0" w:after="140"/>
        <w:rPr/>
      </w:pPr>
      <w:r>
        <w:rPr>
          <w:rStyle w:val="Strong"/>
        </w:rPr>
        <w:t>O</w:t>
      </w:r>
      <w:r>
        <w:rPr>
          <w:rStyle w:val="Strong"/>
        </w:rPr>
        <w:t>ur first-week target should be concrete:</w:t>
      </w:r>
      <w:r>
        <w:rPr/>
        <w:t xml:space="preserve"> load authentic satellite tiles, generate a small set of controlled edits with masks, run a baseline, and produce a panel showing </w:t>
      </w:r>
      <w:r>
        <w:rPr>
          <w:rStyle w:val="Strong"/>
        </w:rPr>
        <w:t>original image, edited image, ground-truth mask, and predicted mask</w:t>
      </w:r>
      <w:r>
        <w:rPr/>
        <w:t>. That first result will reveal whether your main difficulty is data quality, localization, or generalization—and give you evidence for choosing the paper’s contribution.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IN" w:eastAsia="zh-CN" w:bidi="hi-IN"/>
    </w:rPr>
  </w:style>
  <w:style w:type="character" w:styleId="Strong">
    <w:name w:val="Strong"/>
    <w:qFormat/>
    <w:rPr>
      <w:b/>
      <w:bCs/>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penaccess.thecvf.com/content_CVPRW_2020/html/w39/Horvath_Manipulation_Detection_in_Satellite_Images_Using_Deep_Belief_Networks_CVPRW_2020_paper.html?utm_source=chatgpt.com" TargetMode="External"/><Relationship Id="rId3" Type="http://schemas.openxmlformats.org/officeDocument/2006/relationships/hyperlink" Target="https://spec.c2pa.org/specifications/specifications/2.4/explainer/Explainer.html?utm_source=chatgpt.com" TargetMode="External"/><Relationship Id="rId4" Type="http://schemas.openxmlformats.org/officeDocument/2006/relationships/hyperlink" Target="https://www.tandfonline.com/doi/full/10.1080/15230406.2021.1910075?utm_source=chatgpt.com" TargetMode="External"/><Relationship Id="rId5" Type="http://schemas.openxmlformats.org/officeDocument/2006/relationships/hyperlink" Target="https://openaccess.thecvf.com/content_CVPRW_2020/html/w39/Horvath_Manipulation_Detection_in_Satellite_Images_Using_Deep_Belief_Networks_CVPRW_2020_paper.html?utm_source=chatgpt.com" TargetMode="External"/><Relationship Id="rId6" Type="http://schemas.openxmlformats.org/officeDocument/2006/relationships/hyperlink" Target="https://github.com/grip-unina/TruFor?utm_source=chatgpt.com" TargetMode="External"/><Relationship Id="rId7" Type="http://schemas.openxmlformats.org/officeDocument/2006/relationships/hyperlink" Target="https://arxiv.org/html/2608.04840v1?utm_source=chatgpt.com" TargetMode="External"/><Relationship Id="rId8" Type="http://schemas.openxmlformats.org/officeDocument/2006/relationships/hyperlink" Target="https://spacenet.ai/spacenet-buildings-dataset-v2/?utm_source=chatgpt.com" TargetMode="External"/><Relationship Id="rId9" Type="http://schemas.openxmlformats.org/officeDocument/2006/relationships/hyperlink" Target="https://github.com/SteveImmanuel/rs-paint?utm_source=chatgpt.com" TargetMode="External"/><Relationship Id="rId10" Type="http://schemas.openxmlformats.org/officeDocument/2006/relationships/hyperlink" Target="https://huggingface.co/datasets/geodf/fmow-fake-small?utm_source=chatgpt.com"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LibreOffice/26.8.0.3$Linux_X86_64 LibreOffice_project/680$Build-3</Application>
  <AppVersion>15.0000</AppVersion>
  <Pages>4</Pages>
  <Words>1372</Words>
  <Characters>8707</Characters>
  <CharactersWithSpaces>9931</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2026-10-11T21:35:26Z</dcterms:created>
  <dc:creator/>
  <dc:description/>
  <dc:language>en-IN</dc:language>
  <cp:lastModifiedBy/>
  <dcterms:modified xsi:type="dcterms:W3CDTF">2026-10-11T21:42:52Z</dcterms:modified>
  <cp:revision>1</cp:revision>
  <dc:subject/>
  <dc:title/>
</cp:coreProperties>
</file>