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14" w:rsidRDefault="000015D7">
      <w:pPr>
        <w:shd w:val="clear" w:color="auto" w:fill="FFFFFF"/>
        <w:spacing w:after="0" w:line="240" w:lineRule="atLeast"/>
        <w:jc w:val="righ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6496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Утвержден</w:t>
      </w:r>
    </w:p>
    <w:p w:rsidR="00C22D14" w:rsidRDefault="000015D7">
      <w:pPr>
        <w:shd w:val="clear" w:color="auto" w:fill="FFFFFF"/>
        <w:spacing w:after="0" w:line="240" w:lineRule="atLeast"/>
        <w:jc w:val="righ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6496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протоколом заседания</w:t>
      </w:r>
    </w:p>
    <w:p w:rsidR="00C22D14" w:rsidRDefault="000015D7">
      <w:pPr>
        <w:shd w:val="clear" w:color="auto" w:fill="FFFFFF"/>
        <w:spacing w:after="0" w:line="240" w:lineRule="atLeast"/>
        <w:jc w:val="righ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коллегиального органа по оценке </w:t>
      </w:r>
    </w:p>
    <w:p w:rsidR="00C22D14" w:rsidRDefault="000015D7">
      <w:pPr>
        <w:shd w:val="clear" w:color="auto" w:fill="FFFFFF"/>
        <w:spacing w:after="0" w:line="240" w:lineRule="atLeast"/>
        <w:jc w:val="righ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эффективности организации системы </w:t>
      </w:r>
    </w:p>
    <w:p w:rsidR="00C22D14" w:rsidRDefault="000015D7">
      <w:pPr>
        <w:shd w:val="clear" w:color="auto" w:fill="FFFFFF"/>
        <w:spacing w:after="0" w:line="240" w:lineRule="atLeast"/>
        <w:jc w:val="righ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6496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внутреннего обеспечения</w:t>
      </w:r>
    </w:p>
    <w:p w:rsidR="00C22D14" w:rsidRDefault="000015D7">
      <w:pPr>
        <w:shd w:val="clear" w:color="auto" w:fill="FFFFFF"/>
        <w:spacing w:after="0" w:line="240" w:lineRule="atLeast"/>
        <w:jc w:val="righ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соответствия требованиям </w:t>
      </w:r>
    </w:p>
    <w:p w:rsidR="00C22D14" w:rsidRDefault="000015D7">
      <w:pPr>
        <w:shd w:val="clear" w:color="auto" w:fill="FFFFFF"/>
        <w:spacing w:after="0" w:line="240" w:lineRule="atLeast"/>
        <w:jc w:val="righ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6496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антимонопольного законодательства </w:t>
      </w:r>
    </w:p>
    <w:p w:rsidR="00C22D14" w:rsidRDefault="000015D7">
      <w:pPr>
        <w:shd w:val="clear" w:color="auto" w:fill="FFFFFF"/>
        <w:spacing w:after="0" w:line="240" w:lineRule="atLeast"/>
        <w:jc w:val="right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 10 февраля 202</w:t>
      </w:r>
      <w:r w:rsidRPr="00FC455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г.</w:t>
      </w:r>
    </w:p>
    <w:p w:rsidR="00C22D14" w:rsidRDefault="000015D7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C22D14" w:rsidRDefault="000015D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Доклад</w:t>
      </w:r>
    </w:p>
    <w:p w:rsidR="00C22D14" w:rsidRDefault="000015D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 организации системы внутреннего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обеспечения соответствия  требованиям антимонопольного законодательства в Департаменте</w:t>
      </w:r>
      <w:r w:rsidRPr="00FC45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экономики и инвестиций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Чукотского автономного округа за 20</w:t>
      </w:r>
      <w:r w:rsidRPr="00FC45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год</w:t>
      </w:r>
    </w:p>
    <w:p w:rsidR="00C22D14" w:rsidRDefault="00C22D14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2D14" w:rsidRDefault="000015D7">
      <w:pPr>
        <w:suppressAutoHyphens/>
        <w:spacing w:after="0" w:line="240" w:lineRule="auto"/>
        <w:ind w:firstLineChars="125" w:firstLine="35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Во исполнение Указа Президента Российской Федерации от 21.12.2017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618 «Об основных направлениях го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сударственной политики по развитию конкуренции», </w:t>
      </w:r>
      <w:r>
        <w:rPr>
          <w:rFonts w:ascii="Times New Roman" w:eastAsia="Times New Roman" w:hAnsi="Times New Roman" w:cs="Times New Roman"/>
          <w:sz w:val="28"/>
          <w:szCs w:val="28"/>
        </w:rPr>
        <w:t>в соответствии с распоряжением Правительства Российской Федерации от 18.10.2018 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2258-р «Об утверждении рекомендаций  по созданию и организации федеральными органами исполнительной власти системы внутреннег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обеспечения соответствия требованиям антимонопольного законодательства», с целью единого подхода к созданию и организации антимонопольного комплаенса в </w:t>
      </w:r>
      <w:r>
        <w:rPr>
          <w:rFonts w:ascii="Times New Roman" w:eastAsia="Calibri" w:hAnsi="Times New Roman" w:cs="Times New Roman"/>
          <w:sz w:val="28"/>
          <w:szCs w:val="28"/>
        </w:rPr>
        <w:t>Департаменте экономики и инвестиций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Чукотского автономного округа (далее – </w:t>
      </w:r>
      <w:r>
        <w:rPr>
          <w:rFonts w:ascii="Times New Roman" w:eastAsia="Calibri" w:hAnsi="Times New Roman" w:cs="Times New Roman"/>
          <w:sz w:val="28"/>
          <w:szCs w:val="28"/>
        </w:rPr>
        <w:t>Департамент</w:t>
      </w:r>
      <w:r>
        <w:rPr>
          <w:rFonts w:ascii="Times New Roman" w:eastAsia="Calibri" w:hAnsi="Times New Roman" w:cs="Times New Roman"/>
          <w:sz w:val="28"/>
          <w:szCs w:val="28"/>
        </w:rPr>
        <w:t>) были утвержден</w:t>
      </w:r>
      <w:r>
        <w:rPr>
          <w:rFonts w:ascii="Times New Roman" w:eastAsia="Calibri" w:hAnsi="Times New Roman" w:cs="Times New Roman"/>
          <w:sz w:val="28"/>
          <w:szCs w:val="28"/>
        </w:rPr>
        <w:t>ы:</w:t>
      </w:r>
    </w:p>
    <w:p w:rsidR="00C22D14" w:rsidRDefault="000015D7">
      <w:pPr>
        <w:suppressAutoHyphens/>
        <w:spacing w:after="0" w:line="240" w:lineRule="auto"/>
        <w:ind w:firstLineChars="125" w:firstLine="35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ar-SA"/>
        </w:rPr>
        <w:t xml:space="preserve">Положение об организации системы внутреннего обеспечения соответствия требованиям антимонопольного законодательства в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Департаменте экономики</w:t>
      </w:r>
      <w:r w:rsidRPr="00FC455A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и инвестиций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Чукотского автономного округа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(приказ  от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>.20</w:t>
      </w:r>
      <w:r>
        <w:rPr>
          <w:rFonts w:ascii="Times New Roman" w:eastAsia="Calibri" w:hAnsi="Times New Roman" w:cs="Times New Roman"/>
          <w:sz w:val="28"/>
          <w:szCs w:val="28"/>
        </w:rPr>
        <w:t>24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>
        <w:rPr>
          <w:rFonts w:ascii="Times New Roman" w:eastAsia="Calibri" w:hAnsi="Times New Roman" w:cs="Times New Roman"/>
          <w:sz w:val="28"/>
          <w:szCs w:val="28"/>
        </w:rPr>
        <w:t xml:space="preserve"> 68-о/д</w:t>
      </w:r>
      <w:r>
        <w:rPr>
          <w:rFonts w:ascii="Times New Roman" w:eastAsia="Calibri" w:hAnsi="Times New Roman" w:cs="Times New Roman"/>
          <w:sz w:val="28"/>
          <w:szCs w:val="28"/>
        </w:rPr>
        <w:t>);</w:t>
      </w:r>
    </w:p>
    <w:p w:rsidR="00C22D14" w:rsidRDefault="000015D7">
      <w:pPr>
        <w:suppressAutoHyphens/>
        <w:spacing w:after="0" w:line="240" w:lineRule="auto"/>
        <w:ind w:firstLineChars="125" w:firstLine="35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 </w:t>
      </w:r>
      <w:r>
        <w:rPr>
          <w:rStyle w:val="a6"/>
          <w:rFonts w:ascii="Times New Roman" w:hAnsi="Times New Roman"/>
          <w:b w:val="0"/>
          <w:color w:val="auto"/>
          <w:sz w:val="28"/>
          <w:szCs w:val="28"/>
        </w:rPr>
        <w:t>О</w:t>
      </w:r>
      <w:r>
        <w:rPr>
          <w:rStyle w:val="a6"/>
          <w:rFonts w:ascii="Times New Roman" w:hAnsi="Times New Roman"/>
          <w:b w:val="0"/>
          <w:color w:val="auto"/>
          <w:sz w:val="28"/>
          <w:szCs w:val="28"/>
        </w:rPr>
        <w:t xml:space="preserve"> к</w:t>
      </w:r>
      <w:r w:rsidRPr="00FC455A">
        <w:rPr>
          <w:rFonts w:ascii="Times New Roman" w:eastAsia="Helvetica" w:hAnsi="Times New Roman" w:cs="Times New Roman"/>
          <w:color w:val="1A1A1A"/>
          <w:sz w:val="28"/>
          <w:szCs w:val="28"/>
          <w:shd w:val="clear" w:color="auto" w:fill="FFFFFF"/>
          <w:lang w:eastAsia="zh-CN" w:bidi="ar"/>
        </w:rPr>
        <w:t>омисси</w:t>
      </w:r>
      <w:r>
        <w:rPr>
          <w:rFonts w:ascii="Times New Roman" w:eastAsia="Helvetica" w:hAnsi="Times New Roman" w:cs="Times New Roman"/>
          <w:color w:val="1A1A1A"/>
          <w:sz w:val="28"/>
          <w:szCs w:val="28"/>
          <w:shd w:val="clear" w:color="auto" w:fill="FFFFFF"/>
          <w:lang w:eastAsia="zh-CN" w:bidi="ar"/>
        </w:rPr>
        <w:t>и</w:t>
      </w:r>
      <w:r w:rsidRPr="00FC455A">
        <w:rPr>
          <w:rFonts w:ascii="Times New Roman" w:eastAsia="Helvetica" w:hAnsi="Times New Roman" w:cs="Times New Roman"/>
          <w:color w:val="1A1A1A"/>
          <w:sz w:val="28"/>
          <w:szCs w:val="28"/>
          <w:shd w:val="clear" w:color="auto" w:fill="FFFFFF"/>
          <w:lang w:eastAsia="zh-CN" w:bidi="ar"/>
        </w:rPr>
        <w:t xml:space="preserve"> по оценке </w:t>
      </w:r>
      <w:r>
        <w:rPr>
          <w:rFonts w:ascii="Times New Roman" w:eastAsia="Helvetica" w:hAnsi="Times New Roman" w:cs="Times New Roman"/>
          <w:color w:val="1A1A1A"/>
          <w:sz w:val="28"/>
          <w:szCs w:val="28"/>
          <w:shd w:val="clear" w:color="auto" w:fill="FFFFFF"/>
          <w:lang w:eastAsia="zh-CN" w:bidi="ar"/>
        </w:rPr>
        <w:t>э</w:t>
      </w:r>
      <w:r w:rsidRPr="00FC455A">
        <w:rPr>
          <w:rFonts w:ascii="Times New Roman" w:eastAsia="Helvetica" w:hAnsi="Times New Roman" w:cs="Times New Roman"/>
          <w:color w:val="1A1A1A"/>
          <w:sz w:val="28"/>
          <w:szCs w:val="28"/>
          <w:shd w:val="clear" w:color="auto" w:fill="FFFFFF"/>
          <w:lang w:eastAsia="zh-CN" w:bidi="ar"/>
        </w:rPr>
        <w:t>ффективности</w:t>
      </w:r>
      <w:r>
        <w:rPr>
          <w:rFonts w:ascii="Times New Roman" w:eastAsia="Helvetica" w:hAnsi="Times New Roman" w:cs="Times New Roman"/>
          <w:color w:val="1A1A1A"/>
          <w:sz w:val="28"/>
          <w:szCs w:val="28"/>
          <w:shd w:val="clear" w:color="auto" w:fill="FFFFFF"/>
          <w:lang w:eastAsia="zh-CN" w:bidi="ar"/>
        </w:rPr>
        <w:t xml:space="preserve"> </w:t>
      </w:r>
      <w:r w:rsidRPr="00FC455A">
        <w:rPr>
          <w:rFonts w:ascii="Times New Roman" w:eastAsia="Helvetica" w:hAnsi="Times New Roman" w:cs="Times New Roman"/>
          <w:color w:val="1A1A1A"/>
          <w:sz w:val="28"/>
          <w:szCs w:val="28"/>
          <w:shd w:val="clear" w:color="auto" w:fill="FFFFFF"/>
          <w:lang w:eastAsia="zh-CN" w:bidi="ar"/>
        </w:rPr>
        <w:t>организации и функционирования антимонопольного комплаенса</w:t>
      </w:r>
      <w:r>
        <w:rPr>
          <w:rFonts w:ascii="Times New Roman" w:eastAsia="Helvetica" w:hAnsi="Times New Roman" w:cs="Times New Roman"/>
          <w:color w:val="1A1A1A"/>
          <w:sz w:val="28"/>
          <w:szCs w:val="28"/>
          <w:shd w:val="clear" w:color="auto" w:fill="FFFFFF"/>
          <w:lang w:eastAsia="zh-CN" w:bidi="ar"/>
        </w:rPr>
        <w:t xml:space="preserve"> в Департаменте экономики и инвестиций Чукотского автономного округа </w:t>
      </w:r>
      <w:r>
        <w:rPr>
          <w:rFonts w:ascii="Times New Roman" w:hAnsi="Times New Roman" w:cs="Times New Roman"/>
          <w:sz w:val="28"/>
          <w:szCs w:val="28"/>
        </w:rPr>
        <w:t xml:space="preserve">(приказ от </w:t>
      </w:r>
      <w:r>
        <w:rPr>
          <w:rFonts w:ascii="Times New Roman" w:hAnsi="Times New Roman" w:cs="Times New Roman"/>
          <w:sz w:val="28"/>
          <w:szCs w:val="28"/>
        </w:rPr>
        <w:t xml:space="preserve">5.08.2024 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72-о/д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C22D14" w:rsidRDefault="000015D7">
      <w:pPr>
        <w:suppressAutoHyphens/>
        <w:spacing w:after="0" w:line="240" w:lineRule="auto"/>
        <w:ind w:firstLineChars="125" w:firstLine="35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>
        <w:rPr>
          <w:rFonts w:ascii="Times New Roman" w:hAnsi="Times New Roman" w:cs="Times New Roman"/>
          <w:sz w:val="28"/>
          <w:szCs w:val="28"/>
        </w:rPr>
        <w:t>Об утверждении ключевых показателей эффективности функционирования антимонопольно</w:t>
      </w:r>
      <w:r>
        <w:rPr>
          <w:rFonts w:ascii="Times New Roman" w:hAnsi="Times New Roman" w:cs="Times New Roman"/>
          <w:sz w:val="28"/>
          <w:szCs w:val="28"/>
        </w:rPr>
        <w:t>го комплаенса и Методики расчета ключевых показателей эффективности функционирования в Департаменте</w:t>
      </w:r>
      <w:r>
        <w:rPr>
          <w:rFonts w:ascii="Times New Roman" w:hAnsi="Times New Roman" w:cs="Times New Roman"/>
          <w:sz w:val="28"/>
          <w:szCs w:val="28"/>
        </w:rPr>
        <w:t xml:space="preserve"> экономики и инвестиций</w:t>
      </w:r>
      <w:r>
        <w:rPr>
          <w:rFonts w:ascii="Times New Roman" w:hAnsi="Times New Roman" w:cs="Times New Roman"/>
          <w:sz w:val="28"/>
          <w:szCs w:val="28"/>
        </w:rPr>
        <w:t xml:space="preserve"> Чукотского автономного округа антимонопольного комплаенса на 2024 год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(приказ от </w:t>
      </w:r>
      <w:r>
        <w:rPr>
          <w:rFonts w:ascii="Times New Roman" w:eastAsia="Calibri" w:hAnsi="Times New Roman" w:cs="Times New Roman"/>
          <w:sz w:val="28"/>
          <w:szCs w:val="28"/>
        </w:rPr>
        <w:t>5.08.2024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>
        <w:rPr>
          <w:rFonts w:ascii="Times New Roman" w:eastAsia="Calibri" w:hAnsi="Times New Roman" w:cs="Times New Roman"/>
          <w:sz w:val="28"/>
          <w:szCs w:val="28"/>
        </w:rPr>
        <w:t xml:space="preserve"> 70-о/д</w:t>
      </w:r>
      <w:r>
        <w:rPr>
          <w:rFonts w:ascii="Times New Roman" w:eastAsia="Calibri" w:hAnsi="Times New Roman" w:cs="Times New Roman"/>
          <w:sz w:val="28"/>
          <w:szCs w:val="28"/>
        </w:rPr>
        <w:t>);</w:t>
      </w:r>
    </w:p>
    <w:p w:rsidR="00C22D14" w:rsidRDefault="000015D7">
      <w:pPr>
        <w:spacing w:after="0" w:line="240" w:lineRule="auto"/>
        <w:ind w:firstLineChars="125" w:firstLine="35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 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Об утверждении Плана мероприя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тий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(«дорожной карты») по снижению рисков нарушения антимонопольного законодательства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Департаменте </w:t>
      </w:r>
      <w:r>
        <w:rPr>
          <w:rFonts w:ascii="Times New Roman" w:eastAsia="Times New Roman" w:hAnsi="Times New Roman" w:cs="Times New Roman"/>
          <w:sz w:val="28"/>
          <w:szCs w:val="28"/>
        </w:rPr>
        <w:t>экономики и инвестиций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Чукотского автономного округа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(приказ от </w:t>
      </w:r>
      <w:r>
        <w:rPr>
          <w:rFonts w:ascii="Times New Roman" w:eastAsia="Calibri" w:hAnsi="Times New Roman" w:cs="Times New Roman"/>
          <w:sz w:val="28"/>
          <w:szCs w:val="28"/>
        </w:rPr>
        <w:t xml:space="preserve">5.08.2024 </w:t>
      </w:r>
      <w:r>
        <w:rPr>
          <w:rFonts w:ascii="Times New Roman" w:eastAsia="Calibri" w:hAnsi="Times New Roman" w:cs="Times New Roman"/>
          <w:sz w:val="28"/>
          <w:szCs w:val="28"/>
        </w:rPr>
        <w:t>№</w:t>
      </w:r>
      <w:r>
        <w:rPr>
          <w:rFonts w:ascii="Times New Roman" w:eastAsia="Calibri" w:hAnsi="Times New Roman" w:cs="Times New Roman"/>
          <w:sz w:val="28"/>
          <w:szCs w:val="28"/>
        </w:rPr>
        <w:t xml:space="preserve"> 69-о/д).</w:t>
      </w:r>
    </w:p>
    <w:p w:rsidR="00C22D14" w:rsidRDefault="000015D7">
      <w:pPr>
        <w:spacing w:after="0" w:line="240" w:lineRule="auto"/>
        <w:ind w:firstLineChars="125" w:firstLine="350"/>
        <w:jc w:val="both"/>
        <w:rPr>
          <w:rFonts w:ascii="Times New Roman" w:eastAsia="PT Serif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PT Serif" w:hAnsi="Times New Roman" w:cs="Times New Roman"/>
          <w:sz w:val="28"/>
          <w:szCs w:val="28"/>
          <w:shd w:val="clear" w:color="auto" w:fill="FFFFFF"/>
        </w:rPr>
        <w:t xml:space="preserve">Постановлением </w:t>
      </w:r>
      <w:r>
        <w:rPr>
          <w:rFonts w:ascii="Times New Roman" w:eastAsia="PT Serif" w:hAnsi="Times New Roman" w:cs="Times New Roman"/>
          <w:sz w:val="28"/>
          <w:szCs w:val="28"/>
          <w:shd w:val="clear" w:color="auto" w:fill="FFFFFF"/>
        </w:rPr>
        <w:t xml:space="preserve">Правительства Чукотского автономного округа от 5 </w:t>
      </w:r>
      <w:r>
        <w:rPr>
          <w:rFonts w:ascii="Times New Roman" w:eastAsia="PT Serif" w:hAnsi="Times New Roman" w:cs="Times New Roman"/>
          <w:sz w:val="28"/>
          <w:szCs w:val="28"/>
          <w:shd w:val="clear" w:color="auto" w:fill="FFFFFF"/>
        </w:rPr>
        <w:t>октября 2023 года № 390 «О реорганизации Департамента финансов, экономики и имущественных отношений Чукотского автономного округа» Департамент финансов и имущественных отношений Чукотского автономного округа</w:t>
      </w:r>
      <w:r>
        <w:rPr>
          <w:rFonts w:ascii="Times New Roman" w:eastAsia="PT Serif" w:hAnsi="Times New Roman" w:cs="Times New Roman"/>
          <w:sz w:val="28"/>
          <w:szCs w:val="28"/>
          <w:shd w:val="clear" w:color="auto" w:fill="FFFFFF"/>
        </w:rPr>
        <w:t xml:space="preserve"> реорганизован</w:t>
      </w:r>
      <w:r>
        <w:rPr>
          <w:rFonts w:ascii="Times New Roman" w:eastAsia="PT Serif" w:hAnsi="Times New Roman" w:cs="Times New Roman"/>
          <w:sz w:val="28"/>
          <w:szCs w:val="28"/>
          <w:shd w:val="clear" w:color="auto" w:fill="FFFFFF"/>
        </w:rPr>
        <w:t xml:space="preserve"> в форме выделения из его состава Д</w:t>
      </w:r>
      <w:r>
        <w:rPr>
          <w:rFonts w:ascii="Times New Roman" w:eastAsia="PT Serif" w:hAnsi="Times New Roman" w:cs="Times New Roman"/>
          <w:sz w:val="28"/>
          <w:szCs w:val="28"/>
          <w:shd w:val="clear" w:color="auto" w:fill="FFFFFF"/>
        </w:rPr>
        <w:t xml:space="preserve">епартамента </w:t>
      </w:r>
      <w:r>
        <w:rPr>
          <w:rFonts w:ascii="Times New Roman" w:eastAsia="PT Serif" w:hAnsi="Times New Roman" w:cs="Times New Roman"/>
          <w:sz w:val="28"/>
          <w:szCs w:val="28"/>
          <w:shd w:val="clear" w:color="auto" w:fill="FFFFFF"/>
        </w:rPr>
        <w:lastRenderedPageBreak/>
        <w:t>экономики и инвестиций Чукотского автономного округа</w:t>
      </w:r>
      <w:r>
        <w:rPr>
          <w:rFonts w:ascii="Times New Roman" w:eastAsia="PT Serif" w:hAnsi="Times New Roman" w:cs="Times New Roman"/>
          <w:sz w:val="28"/>
          <w:szCs w:val="28"/>
          <w:shd w:val="clear" w:color="auto" w:fill="FFFFFF"/>
        </w:rPr>
        <w:t>. Департамент создан как юридическое лицо с 9 января 2024 года.</w:t>
      </w:r>
    </w:p>
    <w:p w:rsidR="00C22D14" w:rsidRDefault="000015D7">
      <w:pPr>
        <w:spacing w:after="0" w:line="24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PT Serif" w:hAnsi="Times New Roman" w:cs="Times New Roman"/>
          <w:color w:val="22272F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связи с чем мероприятия, предусмотренные положением об организации системы внутреннего обеспечения соответствия требованиям антимонопольного законодательства в </w:t>
      </w:r>
      <w:r>
        <w:rPr>
          <w:rFonts w:ascii="Times New Roman" w:eastAsia="Calibri" w:hAnsi="Times New Roman" w:cs="Times New Roman"/>
          <w:sz w:val="28"/>
          <w:szCs w:val="28"/>
        </w:rPr>
        <w:t>Департаменте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проводились за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месяцев 20</w:t>
      </w:r>
      <w:r>
        <w:rPr>
          <w:rFonts w:ascii="Times New Roman" w:eastAsia="Calibri" w:hAnsi="Times New Roman" w:cs="Times New Roman"/>
          <w:sz w:val="28"/>
          <w:szCs w:val="28"/>
        </w:rPr>
        <w:t>24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года (с </w:t>
      </w:r>
      <w:r>
        <w:rPr>
          <w:rFonts w:ascii="Times New Roman" w:eastAsia="Calibri" w:hAnsi="Times New Roman" w:cs="Times New Roman"/>
          <w:sz w:val="28"/>
          <w:szCs w:val="28"/>
        </w:rPr>
        <w:t>января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декабрь)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2D14" w:rsidRDefault="000015D7">
      <w:pPr>
        <w:autoSpaceDE w:val="0"/>
        <w:autoSpaceDN w:val="0"/>
        <w:adjustRightInd w:val="0"/>
        <w:spacing w:after="0" w:line="24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целях выявления рисков нарушения антимонопольного законодательства в деятельности </w:t>
      </w:r>
      <w:r>
        <w:rPr>
          <w:rFonts w:ascii="Times New Roman" w:eastAsia="Times New Roman" w:hAnsi="Times New Roman" w:cs="Times New Roman"/>
          <w:sz w:val="28"/>
          <w:szCs w:val="28"/>
        </w:rPr>
        <w:t>Департамента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осуществлен анализ выявленных нарушений антимонопольного законодательства (наличие предостережений, предупреждений, штрафов, жалоб, возбужденных дел).</w:t>
      </w:r>
    </w:p>
    <w:p w:rsidR="00C22D14" w:rsidRDefault="000015D7">
      <w:pPr>
        <w:widowControl w:val="0"/>
        <w:autoSpaceDE w:val="0"/>
        <w:autoSpaceDN w:val="0"/>
        <w:spacing w:after="0" w:line="24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итогам проведенного анализа уполномоченным подразделением установлено, что</w:t>
      </w:r>
      <w:r w:rsidRPr="00FC4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нарушения антимонопольного законодательства в деятельности Департамента не выявлены. </w:t>
      </w:r>
    </w:p>
    <w:p w:rsidR="00C22D14" w:rsidRDefault="00C22D14">
      <w:pPr>
        <w:pStyle w:val="ConsPlusNormal"/>
        <w:ind w:firstLineChars="125" w:firstLine="35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2D14" w:rsidRDefault="000015D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firstLineChars="11" w:firstLine="31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Информация о проведенных мероприятиях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внедрению антимонопольного  комплаенса в Департаменте</w:t>
      </w:r>
    </w:p>
    <w:p w:rsidR="00C22D14" w:rsidRDefault="00C22D14">
      <w:pPr>
        <w:shd w:val="clear" w:color="auto" w:fill="FFFFFF"/>
        <w:spacing w:after="0" w:line="240" w:lineRule="auto"/>
        <w:ind w:firstLineChars="125" w:firstLine="35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в Департаменте осуществлено внедрение  системы внутреннего обеспечения соответствия  требованиям антимонопольного законодательства.</w:t>
      </w:r>
    </w:p>
    <w:p w:rsidR="00C22D14" w:rsidRDefault="000015D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Разработаны локальные нормативные акты в сфере ант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имонопольного комплаенса, создан раздел «Антимонопольный комплаенс» на официальном сайте органа исполнительной власти в телекоммуникационной сети Интернет по адресу: </w:t>
      </w:r>
      <w:r>
        <w:rPr>
          <w:rFonts w:ascii="Times New Roman" w:hAnsi="Times New Roman" w:cs="Times New Roman"/>
          <w:sz w:val="28"/>
          <w:szCs w:val="28"/>
        </w:rPr>
        <w:t>http://чукотка.рф/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выявления  и оценки рисков нарушения антимонопольного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законодательства  уполномоченным подразделением проводится ряд мероприятий.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C22D14" w:rsidRDefault="000015D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firstLineChars="11" w:firstLine="31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выявленных нарушений антимонопольного  законодательства в деятельности Департамента</w:t>
      </w:r>
      <w:r w:rsidRPr="00FC45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 1</w:t>
      </w:r>
      <w:r w:rsidRPr="00FC45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месяцев 20</w:t>
      </w:r>
      <w:r w:rsidRPr="00FC45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года</w:t>
      </w:r>
    </w:p>
    <w:p w:rsidR="00C22D14" w:rsidRDefault="00C22D14">
      <w:pPr>
        <w:shd w:val="clear" w:color="auto" w:fill="FFFFFF"/>
        <w:spacing w:after="0" w:line="240" w:lineRule="auto"/>
        <w:ind w:firstLineChars="125" w:firstLine="35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Во исполнение требований Положения  об организации системы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внутреннего обеспечении  соответствия  требованиям антимонопольного законодательства  в Департаменте уполномоченным подразделением проведен анализ информации о наличии нарушений антимонопольного законодательства в деятельности Департамента за отчетный пери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 20</w:t>
      </w:r>
      <w:r w:rsidRPr="00FC455A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года.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результатам  проведенного анализа установлено следующее: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  дела по вопросам применения и возможного нарушения Департаментом норм антимонопольного законодательства в судебных инстанциях не рассматривались;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нормативные правовые акты Депар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тамента, в которых УФАС по Чукотскому автономному округу выявлены нарушения антимонопольного законодательства в указанный период, в Департаменте отсутствуют.</w:t>
      </w:r>
    </w:p>
    <w:p w:rsidR="00C22D14" w:rsidRDefault="00C22D14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2D14" w:rsidRDefault="000015D7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ind w:leftChars="485" w:left="1067" w:firstLineChars="11" w:firstLine="31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Оценка  эффективности функционирования  в Департаменте </w:t>
      </w:r>
    </w:p>
    <w:p w:rsidR="00C22D14" w:rsidRDefault="000015D7">
      <w:pPr>
        <w:shd w:val="clear" w:color="auto" w:fill="FFFFFF"/>
        <w:spacing w:after="0" w:line="240" w:lineRule="auto"/>
        <w:ind w:leftChars="485" w:left="1067" w:firstLineChars="11" w:firstLine="31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антимонопольного комплаенса</w:t>
      </w:r>
    </w:p>
    <w:p w:rsidR="00C22D14" w:rsidRDefault="000015D7">
      <w:pPr>
        <w:shd w:val="clear" w:color="auto" w:fill="FFFFFF"/>
        <w:spacing w:after="0" w:line="240" w:lineRule="auto"/>
        <w:ind w:leftChars="485" w:left="1067" w:firstLineChars="11" w:firstLine="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исполнение пункта   </w:t>
      </w:r>
      <w:r w:rsidRPr="00FC455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Положения об антимонопольном комплаенсе </w:t>
      </w:r>
      <w:r w:rsidRPr="00FC455A">
        <w:rPr>
          <w:rFonts w:ascii="Times New Roman" w:eastAsia="Times New Roman" w:hAnsi="Times New Roman" w:cs="Times New Roman"/>
          <w:sz w:val="28"/>
          <w:szCs w:val="28"/>
          <w:lang w:eastAsia="ru-RU"/>
        </w:rPr>
        <w:t>5.08.2024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Департаментом</w:t>
      </w:r>
      <w:r w:rsidRPr="00FC4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утверждена Методика расчета ключевых показателей эффективности функционирования.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Методике   ключевыми показателями эффективности антимонопольного комплаенс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 в Департаменте  являются:</w:t>
      </w:r>
    </w:p>
    <w:p w:rsidR="00C22D14" w:rsidRDefault="000015D7">
      <w:pPr>
        <w:widowControl w:val="0"/>
        <w:tabs>
          <w:tab w:val="left" w:pos="993"/>
        </w:tabs>
        <w:suppressAutoHyphens/>
        <w:spacing w:after="0" w:line="240" w:lineRule="auto"/>
        <w:ind w:firstLineChars="125" w:firstLine="35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1. Коэффициент снижения количества нарушений антимонопольного законодательства со стороны Департамента по сравнению с предыдущим годом.</w:t>
      </w:r>
    </w:p>
    <w:p w:rsidR="00C22D14" w:rsidRDefault="000015D7">
      <w:pPr>
        <w:widowControl w:val="0"/>
        <w:suppressAutoHyphens/>
        <w:spacing w:after="0" w:line="240" w:lineRule="auto"/>
        <w:ind w:firstLineChars="125" w:firstLine="350"/>
        <w:jc w:val="both"/>
        <w:rPr>
          <w:rFonts w:ascii="Times New Roman" w:eastAsia="Arial Unicode MS" w:hAnsi="Times New Roman" w:cs="Times New Roman"/>
          <w:sz w:val="28"/>
          <w:szCs w:val="28"/>
        </w:rPr>
      </w:pPr>
      <w:bookmarkStart w:id="1" w:name="sub_102"/>
      <w:r>
        <w:rPr>
          <w:rFonts w:ascii="Times New Roman" w:eastAsia="Arial Unicode MS" w:hAnsi="Times New Roman" w:cs="Times New Roman"/>
          <w:sz w:val="28"/>
          <w:szCs w:val="28"/>
        </w:rPr>
        <w:tab/>
        <w:t>2. Доля проектов правовых актов Департамента, в которых выявлены риски нарушения антимоноп</w:t>
      </w:r>
      <w:r>
        <w:rPr>
          <w:rFonts w:ascii="Times New Roman" w:eastAsia="Arial Unicode MS" w:hAnsi="Times New Roman" w:cs="Times New Roman"/>
          <w:sz w:val="28"/>
          <w:szCs w:val="28"/>
        </w:rPr>
        <w:t>ольного законодательства.</w:t>
      </w:r>
    </w:p>
    <w:p w:rsidR="00C22D14" w:rsidRDefault="000015D7">
      <w:pPr>
        <w:widowControl w:val="0"/>
        <w:suppressAutoHyphens/>
        <w:spacing w:after="0" w:line="240" w:lineRule="auto"/>
        <w:ind w:firstLineChars="125" w:firstLine="350"/>
        <w:jc w:val="both"/>
        <w:rPr>
          <w:rFonts w:ascii="Times New Roman" w:eastAsia="Arial Unicode MS" w:hAnsi="Times New Roman" w:cs="Times New Roman"/>
          <w:sz w:val="28"/>
          <w:szCs w:val="28"/>
        </w:rPr>
      </w:pPr>
      <w:bookmarkStart w:id="2" w:name="sub_103"/>
      <w:bookmarkEnd w:id="1"/>
      <w:r>
        <w:rPr>
          <w:rFonts w:ascii="Times New Roman" w:eastAsia="Arial Unicode MS" w:hAnsi="Times New Roman" w:cs="Times New Roman"/>
          <w:sz w:val="28"/>
          <w:szCs w:val="28"/>
        </w:rPr>
        <w:tab/>
        <w:t>3. Доля правовых актов Департамента, в которых выявлены риски нарушения антимонопольного законодательства.</w:t>
      </w:r>
    </w:p>
    <w:bookmarkEnd w:id="2"/>
    <w:p w:rsidR="00C22D14" w:rsidRDefault="000015D7">
      <w:pPr>
        <w:widowControl w:val="0"/>
        <w:autoSpaceDE w:val="0"/>
        <w:autoSpaceDN w:val="0"/>
        <w:spacing w:after="0" w:line="240" w:lineRule="auto"/>
        <w:ind w:firstLineChars="125" w:firstLine="35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  <w:t>4. Доля сотрудников Департамента, в отношении которых были проведены обучающие мероприятия по антимонопольному законодате</w:t>
      </w:r>
      <w:r>
        <w:rPr>
          <w:rFonts w:ascii="Times New Roman" w:eastAsia="Arial Unicode MS" w:hAnsi="Times New Roman" w:cs="Times New Roman"/>
          <w:sz w:val="28"/>
          <w:szCs w:val="28"/>
        </w:rPr>
        <w:t>льству и антимонопольному комплаенсу.</w:t>
      </w:r>
    </w:p>
    <w:p w:rsidR="00C22D14" w:rsidRDefault="000015D7">
      <w:pPr>
        <w:widowControl w:val="0"/>
        <w:autoSpaceDE w:val="0"/>
        <w:autoSpaceDN w:val="0"/>
        <w:spacing w:after="0" w:line="240" w:lineRule="auto"/>
        <w:ind w:firstLineChars="125" w:firstLine="35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информации, изложенной в пункте 2 настоящего Доклада, в отчетном периоде 20</w:t>
      </w:r>
      <w:r w:rsidRPr="00FC455A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нарушений антимонопольного законодательства со стороны Департамента не выявлено.</w:t>
      </w:r>
    </w:p>
    <w:p w:rsidR="00C22D14" w:rsidRDefault="000015D7">
      <w:pPr>
        <w:widowControl w:val="0"/>
        <w:autoSpaceDE w:val="0"/>
        <w:autoSpaceDN w:val="0"/>
        <w:spacing w:after="0" w:line="240" w:lineRule="auto"/>
        <w:ind w:firstLineChars="125" w:firstLine="35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учетом информации, изложенной в пункте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Доклада, в  20</w:t>
      </w:r>
      <w:r w:rsidRPr="00FC455A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году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отсутствовали проекты нормативных правовых актов Департамента, в которых антимонопольным органом выявлены нарушения антимонопольного законодательства.</w:t>
      </w:r>
    </w:p>
    <w:p w:rsidR="00C22D14" w:rsidRDefault="000015D7">
      <w:pPr>
        <w:widowControl w:val="0"/>
        <w:autoSpaceDE w:val="0"/>
        <w:autoSpaceDN w:val="0"/>
        <w:spacing w:after="0" w:line="240" w:lineRule="auto"/>
        <w:ind w:firstLineChars="125" w:firstLine="35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информации, изложенной в пункте 2 настоящего Доклада, в  20</w:t>
      </w:r>
      <w:r w:rsidRPr="00FC455A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оду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отсутствовали нормативные правовые акты Департамента, в которых антимонопольным органом выявлены нарушения антимонопольного законодательства.</w:t>
      </w:r>
    </w:p>
    <w:p w:rsidR="00C22D14" w:rsidRDefault="00C22D14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</w:p>
    <w:p w:rsidR="00C22D14" w:rsidRDefault="00C22D14">
      <w:pPr>
        <w:shd w:val="clear" w:color="auto" w:fill="FFFFFF"/>
        <w:spacing w:after="0" w:line="240" w:lineRule="auto"/>
        <w:ind w:firstLineChars="125" w:firstLine="35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в Департаменте осуществлено внедрение  системы внутреннего обеспечения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соответствия  требованиям антимонопольного законодательства.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Разработаны локальные нормативные акты в сфере антимонопольного комплаенса, создан раздел «Антимонопольный комплаенс» на официальном сайте органа исполнительной власти по адресу: </w:t>
      </w:r>
      <w:r>
        <w:rPr>
          <w:rFonts w:ascii="Times New Roman" w:hAnsi="Times New Roman" w:cs="Times New Roman"/>
          <w:sz w:val="28"/>
          <w:szCs w:val="28"/>
        </w:rPr>
        <w:t>http://чукотка.р</w:t>
      </w:r>
      <w:r>
        <w:rPr>
          <w:rFonts w:ascii="Times New Roman" w:hAnsi="Times New Roman" w:cs="Times New Roman"/>
          <w:sz w:val="28"/>
          <w:szCs w:val="28"/>
        </w:rPr>
        <w:t>ф/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Составлена Карта  рисков нарушения  антимонопольного законодательства.</w:t>
      </w:r>
    </w:p>
    <w:p w:rsidR="00C22D14" w:rsidRDefault="000015D7">
      <w:pPr>
        <w:shd w:val="clear" w:color="auto" w:fill="FFFFFF"/>
        <w:spacing w:after="0" w:line="240" w:lineRule="auto"/>
        <w:ind w:firstLineChars="125" w:firstLine="3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снижения  рисков нарушения антимонопольного законодательства  разработан План мероприятий («дорожная карта») по снижению рисков нарушения антимонопольного законодательства 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Департаменте.</w:t>
      </w:r>
    </w:p>
    <w:p w:rsidR="00C22D14" w:rsidRDefault="00C22D14">
      <w:pPr>
        <w:spacing w:line="24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</w:p>
    <w:sectPr w:rsidR="00C22D1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5D7" w:rsidRDefault="000015D7">
      <w:pPr>
        <w:spacing w:line="240" w:lineRule="auto"/>
      </w:pPr>
      <w:r>
        <w:separator/>
      </w:r>
    </w:p>
  </w:endnote>
  <w:endnote w:type="continuationSeparator" w:id="0">
    <w:p w:rsidR="000015D7" w:rsidRDefault="00001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 Unicode MS">
    <w:altName w:val="Malgun Gothic Semilight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5D7" w:rsidRDefault="000015D7">
      <w:pPr>
        <w:spacing w:after="0"/>
      </w:pPr>
      <w:r>
        <w:separator/>
      </w:r>
    </w:p>
  </w:footnote>
  <w:footnote w:type="continuationSeparator" w:id="0">
    <w:p w:rsidR="000015D7" w:rsidRDefault="000015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5502F"/>
    <w:multiLevelType w:val="multilevel"/>
    <w:tmpl w:val="7D25502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F7"/>
    <w:rsid w:val="000015D7"/>
    <w:rsid w:val="00014201"/>
    <w:rsid w:val="00022893"/>
    <w:rsid w:val="00025E31"/>
    <w:rsid w:val="000949FD"/>
    <w:rsid w:val="000D223A"/>
    <w:rsid w:val="0013753F"/>
    <w:rsid w:val="001464DE"/>
    <w:rsid w:val="001552C5"/>
    <w:rsid w:val="00155D7B"/>
    <w:rsid w:val="001D2ACB"/>
    <w:rsid w:val="001F10C2"/>
    <w:rsid w:val="002175F7"/>
    <w:rsid w:val="0027684C"/>
    <w:rsid w:val="002A69E3"/>
    <w:rsid w:val="00301566"/>
    <w:rsid w:val="00354BE8"/>
    <w:rsid w:val="00401437"/>
    <w:rsid w:val="00463131"/>
    <w:rsid w:val="00472D49"/>
    <w:rsid w:val="004F0AA9"/>
    <w:rsid w:val="005538F7"/>
    <w:rsid w:val="00600204"/>
    <w:rsid w:val="00653D95"/>
    <w:rsid w:val="006702CC"/>
    <w:rsid w:val="00670465"/>
    <w:rsid w:val="00675399"/>
    <w:rsid w:val="00734C25"/>
    <w:rsid w:val="00742644"/>
    <w:rsid w:val="007760BF"/>
    <w:rsid w:val="007A5459"/>
    <w:rsid w:val="00812D7A"/>
    <w:rsid w:val="008424A5"/>
    <w:rsid w:val="008438D5"/>
    <w:rsid w:val="00854AB6"/>
    <w:rsid w:val="008730E8"/>
    <w:rsid w:val="008819F6"/>
    <w:rsid w:val="009565F9"/>
    <w:rsid w:val="009A7B23"/>
    <w:rsid w:val="009E2B63"/>
    <w:rsid w:val="00A03D6C"/>
    <w:rsid w:val="00A17F5B"/>
    <w:rsid w:val="00A20D5A"/>
    <w:rsid w:val="00A34905"/>
    <w:rsid w:val="00B21BB9"/>
    <w:rsid w:val="00B30477"/>
    <w:rsid w:val="00B94265"/>
    <w:rsid w:val="00BB5A1A"/>
    <w:rsid w:val="00BC0C6D"/>
    <w:rsid w:val="00BD59A7"/>
    <w:rsid w:val="00C22D14"/>
    <w:rsid w:val="00C63DE6"/>
    <w:rsid w:val="00C97F0A"/>
    <w:rsid w:val="00CA015D"/>
    <w:rsid w:val="00CC395E"/>
    <w:rsid w:val="00D91545"/>
    <w:rsid w:val="00DD4F73"/>
    <w:rsid w:val="00E20830"/>
    <w:rsid w:val="00E2269A"/>
    <w:rsid w:val="00E36ACF"/>
    <w:rsid w:val="00EC012F"/>
    <w:rsid w:val="00ED42A7"/>
    <w:rsid w:val="00F841BF"/>
    <w:rsid w:val="00FA4212"/>
    <w:rsid w:val="00FA6E7D"/>
    <w:rsid w:val="00FC455A"/>
    <w:rsid w:val="109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9210"/>
  <w15:docId w15:val="{288D66F3-5E9A-4D68-A6A9-061734BA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eastAsia="Times New Roman" w:hAnsi="Arial" w:cs="Arial"/>
      <w:sz w:val="24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Гипертекстовая ссылка"/>
    <w:basedOn w:val="a7"/>
    <w:uiPriority w:val="99"/>
    <w:qFormat/>
    <w:rPr>
      <w:rFonts w:cs="Times New Roman" w:hint="default"/>
      <w:b/>
      <w:color w:val="106BBE"/>
      <w:sz w:val="24"/>
      <w:szCs w:val="24"/>
    </w:rPr>
  </w:style>
  <w:style w:type="character" w:customStyle="1" w:styleId="a7">
    <w:name w:val="Цветовое выделение"/>
    <w:uiPriority w:val="99"/>
    <w:unhideWhenUsed/>
    <w:qFormat/>
    <w:rPr>
      <w:rFonts w:hint="default"/>
      <w:b/>
      <w:color w:val="26282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Лугачёва Ольга Юрьевна</dc:creator>
  <cp:lastModifiedBy>Джураева Малика Носировна</cp:lastModifiedBy>
  <cp:revision>3</cp:revision>
  <cp:lastPrinted>2025-02-10T21:06:00Z</cp:lastPrinted>
  <dcterms:created xsi:type="dcterms:W3CDTF">2020-11-16T03:30:00Z</dcterms:created>
  <dcterms:modified xsi:type="dcterms:W3CDTF">2025-02-10T21:15:00Z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AD36C1CFCEF549E2B6CA8AB5A155F093_12</vt:lpwstr>
  </property>
</Properties>
</file>