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CCB5" w14:textId="77777777" w:rsidR="00D8379F" w:rsidRDefault="00D8379F" w:rsidP="009E1C86"/>
    <w:p w14:paraId="5D8D3F2D" w14:textId="77777777" w:rsidR="00AE4509" w:rsidRPr="005844F5" w:rsidRDefault="00AE4509" w:rsidP="00AE4509">
      <w:pPr>
        <w:pStyle w:val="Standard"/>
        <w:ind w:firstLineChars="125" w:firstLine="301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Перечень вопросов для проведения публичных консультаций </w:t>
      </w:r>
    </w:p>
    <w:p w14:paraId="0EBD9245" w14:textId="77777777" w:rsidR="00AE4509" w:rsidRPr="005844F5" w:rsidRDefault="00AE4509" w:rsidP="00AE4509">
      <w:pPr>
        <w:pStyle w:val="Standard"/>
        <w:ind w:firstLineChars="125" w:firstLine="301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в рамках экспертизы нормативного правового акта</w:t>
      </w:r>
    </w:p>
    <w:p w14:paraId="6E2E03B1" w14:textId="77777777" w:rsidR="004C6D7C" w:rsidRDefault="00656BB1" w:rsidP="004C6D7C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  <w:u w:val="single"/>
        </w:rPr>
      </w:pPr>
      <w:r w:rsidRPr="00656BB1">
        <w:rPr>
          <w:rFonts w:ascii="Times New Roman" w:hAnsi="Times New Roman"/>
          <w:b/>
          <w:bCs/>
          <w:color w:val="auto"/>
          <w:szCs w:val="28"/>
          <w:u w:val="single"/>
        </w:rPr>
        <w:t>Постановления Правительства Чукотского автономного округа от 18 апреля 2008 г. № 70 «Об утверждении прядка определения размера арендной платы за земельные участки, находящиеся в собственности Чукотского автономного округа и предоставленные в аренду без торгов»</w:t>
      </w:r>
    </w:p>
    <w:p w14:paraId="19A10A48" w14:textId="76507CD5" w:rsidR="00AE4509" w:rsidRPr="005844F5" w:rsidRDefault="00AE4509" w:rsidP="004C6D7C">
      <w:pPr>
        <w:pStyle w:val="Standard"/>
        <w:ind w:firstLineChars="125" w:firstLine="300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(название нормативного правового акта)</w:t>
      </w:r>
    </w:p>
    <w:p w14:paraId="52141BE3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701"/>
        <w:gridCol w:w="2540"/>
      </w:tblGrid>
      <w:tr w:rsidR="00AE4509" w:rsidRPr="005844F5" w14:paraId="5D194E89" w14:textId="77777777" w:rsidTr="00797EEB">
        <w:tc>
          <w:tcPr>
            <w:tcW w:w="9339" w:type="dxa"/>
            <w:gridSpan w:val="3"/>
          </w:tcPr>
          <w:p w14:paraId="687EA1FD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Пожалуйста, заполните и направьте данную форму по электронной почте на адрес:</w:t>
            </w:r>
          </w:p>
        </w:tc>
      </w:tr>
      <w:tr w:rsidR="00AE4509" w:rsidRPr="005844F5" w14:paraId="069A3759" w14:textId="77777777" w:rsidTr="00797EEB">
        <w:tc>
          <w:tcPr>
            <w:tcW w:w="5098" w:type="dxa"/>
            <w:tcBorders>
              <w:bottom w:val="single" w:sz="4" w:space="0" w:color="auto"/>
            </w:tcBorders>
          </w:tcPr>
          <w:p w14:paraId="2EE6BFA1" w14:textId="77777777" w:rsidR="00AE4509" w:rsidRPr="00FC38BD" w:rsidRDefault="00500223" w:rsidP="00797EEB">
            <w:pPr>
              <w:pStyle w:val="Standard"/>
              <w:contextualSpacing/>
              <w:rPr>
                <w:rFonts w:ascii="Times New Roman" w:hAnsi="Times New Roman"/>
                <w:b/>
                <w:i/>
                <w:color w:val="auto"/>
                <w:szCs w:val="28"/>
              </w:rPr>
            </w:pPr>
            <w:r w:rsidRPr="00500223">
              <w:rPr>
                <w:rFonts w:ascii="Times New Roman" w:hAnsi="Times New Roman"/>
                <w:b/>
                <w:i/>
                <w:color w:val="auto"/>
                <w:szCs w:val="28"/>
              </w:rPr>
              <w:t>a.kaftaikina@invest.chukotka-gov.ru</w:t>
            </w:r>
          </w:p>
        </w:tc>
        <w:tc>
          <w:tcPr>
            <w:tcW w:w="1701" w:type="dxa"/>
          </w:tcPr>
          <w:p w14:paraId="65523F81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не позднее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14:paraId="1F5B24A9" w14:textId="7F8AA00C" w:rsidR="00AE4509" w:rsidRPr="00F820F4" w:rsidRDefault="005405D8" w:rsidP="008A3455">
            <w:pPr>
              <w:pStyle w:val="Standard"/>
              <w:contextualSpacing/>
              <w:rPr>
                <w:rFonts w:ascii="Times New Roman" w:hAnsi="Times New Roman"/>
                <w:b/>
                <w:i/>
                <w:color w:val="auto"/>
                <w:szCs w:val="28"/>
              </w:rPr>
            </w:pPr>
            <w:r w:rsidRPr="005405D8">
              <w:rPr>
                <w:rFonts w:ascii="Times New Roman" w:hAnsi="Times New Roman"/>
                <w:b/>
                <w:i/>
                <w:color w:val="auto"/>
                <w:szCs w:val="28"/>
              </w:rPr>
              <w:t>21</w:t>
            </w:r>
            <w:r w:rsidR="00F820F4" w:rsidRPr="005405D8">
              <w:rPr>
                <w:rFonts w:ascii="Times New Roman" w:hAnsi="Times New Roman"/>
                <w:b/>
                <w:i/>
                <w:color w:val="auto"/>
                <w:szCs w:val="28"/>
              </w:rPr>
              <w:t xml:space="preserve"> </w:t>
            </w:r>
            <w:r w:rsidR="00F820F4" w:rsidRPr="00F820F4">
              <w:rPr>
                <w:rFonts w:ascii="Times New Roman" w:hAnsi="Times New Roman"/>
                <w:b/>
                <w:i/>
                <w:color w:val="auto"/>
                <w:szCs w:val="28"/>
              </w:rPr>
              <w:t>октября 2025 года</w:t>
            </w:r>
          </w:p>
        </w:tc>
      </w:tr>
      <w:tr w:rsidR="00AE4509" w:rsidRPr="00F3207C" w14:paraId="001FE9E8" w14:textId="77777777" w:rsidTr="00797EEB">
        <w:tc>
          <w:tcPr>
            <w:tcW w:w="5098" w:type="dxa"/>
            <w:tcBorders>
              <w:top w:val="single" w:sz="4" w:space="0" w:color="auto"/>
            </w:tcBorders>
          </w:tcPr>
          <w:p w14:paraId="6549FD8A" w14:textId="77777777" w:rsidR="00AE4509" w:rsidRPr="00F3207C" w:rsidRDefault="00AE4509" w:rsidP="00797EEB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 w:val="18"/>
                <w:szCs w:val="28"/>
              </w:rPr>
            </w:pPr>
            <w:r w:rsidRPr="00F3207C">
              <w:rPr>
                <w:rFonts w:ascii="Times New Roman" w:hAnsi="Times New Roman"/>
                <w:iCs/>
                <w:color w:val="auto"/>
                <w:sz w:val="18"/>
                <w:szCs w:val="28"/>
              </w:rPr>
              <w:t>(указание адреса электронной почты ответственного сотрудника)</w:t>
            </w:r>
          </w:p>
          <w:p w14:paraId="6290776A" w14:textId="77777777" w:rsidR="00AE4509" w:rsidRPr="00F3207C" w:rsidRDefault="00AE4509" w:rsidP="00797EEB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 w:val="18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420701" w14:textId="77777777" w:rsidR="00AE4509" w:rsidRPr="00F3207C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 w:val="18"/>
                <w:szCs w:val="28"/>
              </w:rPr>
            </w:pPr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0F13A7FA" w14:textId="77777777" w:rsidR="00AE4509" w:rsidRPr="00F3207C" w:rsidRDefault="00AE4509" w:rsidP="00797EEB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 w:val="18"/>
                <w:szCs w:val="28"/>
              </w:rPr>
            </w:pPr>
            <w:r w:rsidRPr="00F3207C">
              <w:rPr>
                <w:rFonts w:ascii="Times New Roman" w:hAnsi="Times New Roman"/>
                <w:iCs/>
                <w:color w:val="auto"/>
                <w:sz w:val="18"/>
                <w:szCs w:val="28"/>
              </w:rPr>
              <w:t>(дата)</w:t>
            </w:r>
          </w:p>
        </w:tc>
      </w:tr>
    </w:tbl>
    <w:p w14:paraId="635D12B7" w14:textId="77777777" w:rsidR="00AE4509" w:rsidRPr="005844F5" w:rsidRDefault="00AE4509" w:rsidP="00AE4509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Регулирующий орган не будет иметь возможности проанализировать позиции, направленные после указанного срока, а также направленные не в соответствии с настоящей формой.</w:t>
      </w:r>
    </w:p>
    <w:p w14:paraId="04A3E17C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14:paraId="1E0DFC3C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Контактная информация об участнике публичных консультаций:</w:t>
      </w:r>
    </w:p>
    <w:p w14:paraId="19924764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Название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__________________________________________________</w:t>
      </w:r>
    </w:p>
    <w:p w14:paraId="1BC986A5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Сфера деятельности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</w:t>
      </w:r>
    </w:p>
    <w:p w14:paraId="1D3F2E14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Ф.И.О. контактного </w:t>
      </w:r>
      <w:proofErr w:type="gramStart"/>
      <w:r w:rsidRPr="005844F5">
        <w:rPr>
          <w:rFonts w:ascii="Times New Roman" w:hAnsi="Times New Roman"/>
          <w:color w:val="auto"/>
          <w:szCs w:val="28"/>
        </w:rPr>
        <w:t>лица:_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</w:t>
      </w:r>
    </w:p>
    <w:p w14:paraId="1BD76958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Номер контактного телефона: _____________________________________________</w:t>
      </w:r>
    </w:p>
    <w:p w14:paraId="31F111A9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Адрес электронной </w:t>
      </w:r>
      <w:proofErr w:type="gramStart"/>
      <w:r w:rsidRPr="005844F5">
        <w:rPr>
          <w:rFonts w:ascii="Times New Roman" w:hAnsi="Times New Roman"/>
          <w:color w:val="auto"/>
          <w:szCs w:val="28"/>
        </w:rPr>
        <w:t>почты:_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</w:t>
      </w:r>
    </w:p>
    <w:p w14:paraId="083F5F2F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E4509" w:rsidRPr="005844F5" w14:paraId="021BFEC5" w14:textId="77777777" w:rsidTr="00797EEB">
        <w:tc>
          <w:tcPr>
            <w:tcW w:w="9339" w:type="dxa"/>
            <w:tcBorders>
              <w:bottom w:val="nil"/>
            </w:tcBorders>
          </w:tcPr>
          <w:p w14:paraId="023338F0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 Обоснованы ли нормы, содержащиеся в нормативном правовом акте?</w:t>
            </w:r>
          </w:p>
        </w:tc>
      </w:tr>
      <w:tr w:rsidR="00AE4509" w:rsidRPr="005844F5" w14:paraId="1452BB0A" w14:textId="77777777" w:rsidTr="00797EEB">
        <w:tc>
          <w:tcPr>
            <w:tcW w:w="9339" w:type="dxa"/>
            <w:tcBorders>
              <w:top w:val="nil"/>
            </w:tcBorders>
          </w:tcPr>
          <w:p w14:paraId="07098C29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1765E61C" w14:textId="77777777" w:rsidTr="00797EEB">
        <w:tc>
          <w:tcPr>
            <w:tcW w:w="9339" w:type="dxa"/>
            <w:tcBorders>
              <w:bottom w:val="nil"/>
            </w:tcBorders>
          </w:tcPr>
          <w:p w14:paraId="44DE18B0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 Опишите издержки, которые несут субъекты общественных отношений в связи с действующим регулированием (по возможности дайте количественную оценку).</w:t>
            </w:r>
          </w:p>
        </w:tc>
      </w:tr>
      <w:tr w:rsidR="00AE4509" w:rsidRPr="005844F5" w14:paraId="2780A8AF" w14:textId="77777777" w:rsidTr="00797EEB">
        <w:tc>
          <w:tcPr>
            <w:tcW w:w="9339" w:type="dxa"/>
            <w:tcBorders>
              <w:top w:val="nil"/>
            </w:tcBorders>
          </w:tcPr>
          <w:p w14:paraId="3B397D17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1A07A765" w14:textId="77777777" w:rsidTr="00797EEB">
        <w:tc>
          <w:tcPr>
            <w:tcW w:w="9339" w:type="dxa"/>
            <w:tcBorders>
              <w:bottom w:val="nil"/>
            </w:tcBorders>
          </w:tcPr>
          <w:p w14:paraId="0DD40670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 Существуют ли на Ваш взгляд, иные наиболее эффективные и менее затратные для органа, осуществляющего экспертизу, а также субъектов предпринимательской и инвестиционной деятельности варианты регулирования? Если да, приведите варианты, обосновав каждый из них.</w:t>
            </w:r>
          </w:p>
        </w:tc>
      </w:tr>
      <w:tr w:rsidR="00AE4509" w:rsidRPr="005844F5" w14:paraId="45A2DBE5" w14:textId="77777777" w:rsidTr="00797EEB">
        <w:tc>
          <w:tcPr>
            <w:tcW w:w="9339" w:type="dxa"/>
            <w:tcBorders>
              <w:top w:val="nil"/>
            </w:tcBorders>
          </w:tcPr>
          <w:p w14:paraId="32AD83B7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4B0E0055" w14:textId="77777777" w:rsidTr="00797EEB">
        <w:tc>
          <w:tcPr>
            <w:tcW w:w="9339" w:type="dxa"/>
            <w:tcBorders>
              <w:bottom w:val="nil"/>
            </w:tcBorders>
          </w:tcPr>
          <w:p w14:paraId="13DAC6EC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4. Оцените, насколько полно и точно отражены обязанности субъектов регулирования, а также насколько понятно прописаны административные процедуры, реализуемые органом местного самоуправления, насколько точно и недвусмысленно прописаны властные функции и полномочия. Считаете ли Вы, что существует необходимость изменить существующие нормы? Если да, укажите какие нормы и обоснование их изменения.</w:t>
            </w:r>
          </w:p>
        </w:tc>
      </w:tr>
      <w:tr w:rsidR="00AE4509" w:rsidRPr="005844F5" w14:paraId="06A700A3" w14:textId="77777777" w:rsidTr="00797EEB">
        <w:tc>
          <w:tcPr>
            <w:tcW w:w="9339" w:type="dxa"/>
            <w:tcBorders>
              <w:top w:val="nil"/>
            </w:tcBorders>
          </w:tcPr>
          <w:p w14:paraId="732FAA59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7D9D0251" w14:textId="77777777" w:rsidTr="00797EEB">
        <w:tc>
          <w:tcPr>
            <w:tcW w:w="9339" w:type="dxa"/>
            <w:tcBorders>
              <w:bottom w:val="nil"/>
            </w:tcBorders>
          </w:tcPr>
          <w:p w14:paraId="4FD01AB2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 Существуют ли в действующем правовом регулировании положения, которые необоснованно затрудняют ведение предпринимательской и инвестиционной деятельности? Приведите обоснования по каждому указанному положению.</w:t>
            </w:r>
          </w:p>
        </w:tc>
      </w:tr>
      <w:tr w:rsidR="00AE4509" w:rsidRPr="005844F5" w14:paraId="34D216E9" w14:textId="77777777" w:rsidTr="00797EEB">
        <w:tc>
          <w:tcPr>
            <w:tcW w:w="9339" w:type="dxa"/>
            <w:tcBorders>
              <w:top w:val="nil"/>
            </w:tcBorders>
          </w:tcPr>
          <w:p w14:paraId="0B6ECD99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10ABB63F" w14:textId="77777777" w:rsidTr="00797EEB">
        <w:tc>
          <w:tcPr>
            <w:tcW w:w="9339" w:type="dxa"/>
            <w:tcBorders>
              <w:bottom w:val="nil"/>
            </w:tcBorders>
          </w:tcPr>
          <w:p w14:paraId="7AC5C88D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 Иные предложения и замечания, которые, по Вашему мнению, целесообразно учесть в рамках экспертизы муниципального нормативного правового акта.</w:t>
            </w:r>
          </w:p>
        </w:tc>
      </w:tr>
      <w:tr w:rsidR="00AE4509" w:rsidRPr="005844F5" w14:paraId="63572851" w14:textId="77777777" w:rsidTr="00797EEB">
        <w:tc>
          <w:tcPr>
            <w:tcW w:w="9339" w:type="dxa"/>
            <w:tcBorders>
              <w:top w:val="nil"/>
            </w:tcBorders>
          </w:tcPr>
          <w:p w14:paraId="267B4D74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14:paraId="21B288B7" w14:textId="77777777" w:rsidR="00AE4509" w:rsidRPr="005844F5" w:rsidRDefault="00AE4509" w:rsidP="00AE4509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sectPr w:rsidR="00AE4509" w:rsidRPr="0058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D5"/>
    <w:rsid w:val="00084399"/>
    <w:rsid w:val="004C6D7C"/>
    <w:rsid w:val="00500223"/>
    <w:rsid w:val="005405D8"/>
    <w:rsid w:val="00656BB1"/>
    <w:rsid w:val="006E59D5"/>
    <w:rsid w:val="00754CC2"/>
    <w:rsid w:val="008A3455"/>
    <w:rsid w:val="008A5887"/>
    <w:rsid w:val="009E1C86"/>
    <w:rsid w:val="00A515F1"/>
    <w:rsid w:val="00AE4509"/>
    <w:rsid w:val="00C1721B"/>
    <w:rsid w:val="00D8379F"/>
    <w:rsid w:val="00F3207C"/>
    <w:rsid w:val="00F820F4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5F42"/>
  <w15:chartTrackingRefBased/>
  <w15:docId w15:val="{11EB0136-8C3A-4EDE-B522-87741C1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509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450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E4509"/>
    <w:pPr>
      <w:spacing w:after="0" w:line="240" w:lineRule="auto"/>
    </w:pPr>
    <w:rPr>
      <w:rFonts w:ascii="Liberation Serif" w:eastAsia="SimSun" w:hAnsi="Liberation Serif" w:cs="Times New Roman"/>
      <w:color w:val="00000A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Хаджаев Андрей Николаевич</dc:creator>
  <cp:keywords/>
  <dc:description/>
  <cp:lastModifiedBy>Скрябикова Алена Николаевна</cp:lastModifiedBy>
  <cp:revision>14</cp:revision>
  <dcterms:created xsi:type="dcterms:W3CDTF">2025-09-23T05:12:00Z</dcterms:created>
  <dcterms:modified xsi:type="dcterms:W3CDTF">2025-09-28T21:14:00Z</dcterms:modified>
</cp:coreProperties>
</file>