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1C12" w14:textId="77777777" w:rsidR="00091BD8" w:rsidRPr="005844F5" w:rsidRDefault="00091BD8" w:rsidP="00091BD8">
      <w:pPr>
        <w:pStyle w:val="Standard"/>
        <w:ind w:firstLineChars="125" w:firstLine="301"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 xml:space="preserve">Уведомление о проведении публичных консультаций </w:t>
      </w:r>
    </w:p>
    <w:p w14:paraId="36B7C5F1" w14:textId="77777777" w:rsidR="00091BD8" w:rsidRPr="005844F5" w:rsidRDefault="00091BD8" w:rsidP="00091BD8">
      <w:pPr>
        <w:pStyle w:val="Standard"/>
        <w:ind w:firstLineChars="125" w:firstLine="301"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в целях экспертизы нормативного правового акта</w:t>
      </w:r>
    </w:p>
    <w:p w14:paraId="43317B81" w14:textId="77777777" w:rsidR="00091BD8" w:rsidRPr="005844F5" w:rsidRDefault="00091BD8" w:rsidP="00091BD8">
      <w:pPr>
        <w:pStyle w:val="Standard"/>
        <w:ind w:firstLineChars="125" w:firstLine="300"/>
        <w:rPr>
          <w:rFonts w:ascii="Times New Roman" w:hAnsi="Times New Roman"/>
          <w:color w:val="auto"/>
          <w:szCs w:val="28"/>
        </w:rPr>
      </w:pPr>
    </w:p>
    <w:p w14:paraId="5C5BCC3E" w14:textId="47FB1FBC" w:rsidR="00091BD8" w:rsidRPr="005844F5" w:rsidRDefault="00091BD8" w:rsidP="00091BD8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Настоящим Департамент экономики и инвестиций Чукотского автономного округа извещает о начале обсуждения </w:t>
      </w:r>
      <w:r w:rsidR="00510AE7">
        <w:rPr>
          <w:rFonts w:ascii="Times New Roman" w:hAnsi="Times New Roman"/>
          <w:color w:val="auto"/>
          <w:szCs w:val="28"/>
        </w:rPr>
        <w:t>регионального</w:t>
      </w:r>
      <w:r w:rsidRPr="005844F5">
        <w:rPr>
          <w:rFonts w:ascii="Times New Roman" w:hAnsi="Times New Roman"/>
          <w:color w:val="auto"/>
          <w:szCs w:val="28"/>
        </w:rPr>
        <w:t xml:space="preserve"> нормативного правового акта и сборе предложений заинтересованных лиц по</w:t>
      </w:r>
    </w:p>
    <w:p w14:paraId="48B75232" w14:textId="77777777" w:rsidR="00C22554" w:rsidRPr="004D7A7F" w:rsidRDefault="00C22554" w:rsidP="00091BD8">
      <w:pPr>
        <w:pStyle w:val="Standard"/>
        <w:ind w:firstLineChars="125" w:firstLine="301"/>
        <w:jc w:val="center"/>
        <w:rPr>
          <w:rFonts w:ascii="Times New Roman" w:hAnsi="Times New Roman"/>
          <w:b/>
          <w:i/>
          <w:color w:val="auto"/>
          <w:szCs w:val="28"/>
          <w:u w:val="single"/>
        </w:rPr>
      </w:pPr>
      <w:r w:rsidRPr="004D7A7F">
        <w:rPr>
          <w:rFonts w:ascii="Times New Roman" w:hAnsi="Times New Roman"/>
          <w:b/>
          <w:i/>
          <w:color w:val="auto"/>
          <w:szCs w:val="28"/>
          <w:u w:val="single"/>
        </w:rPr>
        <w:t xml:space="preserve">Постановлению Правительства Чукотского автономного округа от 18 апреля 2008 г. № 70 «Об утверждении прядка определения размера арендной платы за земельные участки, находящиеся в собственности Чукотского автономного округа и предоставленные в аренду без торгов» </w:t>
      </w:r>
    </w:p>
    <w:p w14:paraId="3BD922AE" w14:textId="77777777" w:rsidR="00091BD8" w:rsidRPr="00C22554" w:rsidRDefault="00091BD8" w:rsidP="00091BD8">
      <w:pPr>
        <w:pStyle w:val="Standard"/>
        <w:ind w:firstLineChars="125" w:firstLine="250"/>
        <w:jc w:val="center"/>
        <w:rPr>
          <w:rFonts w:ascii="Times New Roman" w:hAnsi="Times New Roman"/>
          <w:color w:val="auto"/>
          <w:sz w:val="20"/>
          <w:szCs w:val="28"/>
        </w:rPr>
      </w:pPr>
      <w:r w:rsidRPr="00C22554">
        <w:rPr>
          <w:rFonts w:ascii="Times New Roman" w:hAnsi="Times New Roman"/>
          <w:iCs/>
          <w:color w:val="auto"/>
          <w:sz w:val="20"/>
          <w:szCs w:val="28"/>
        </w:rPr>
        <w:t>(наименование нормативного правового акта)</w:t>
      </w:r>
    </w:p>
    <w:p w14:paraId="141430E0" w14:textId="77777777" w:rsidR="00091BD8" w:rsidRPr="005844F5" w:rsidRDefault="00091BD8" w:rsidP="00226FDA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Предложения принимаются по адресу электронной почты: </w:t>
      </w:r>
      <w:hyperlink r:id="rId5" w:history="1">
        <w:r w:rsidR="00226FDA" w:rsidRPr="00226FDA">
          <w:rPr>
            <w:rStyle w:val="a3"/>
            <w:rFonts w:ascii="Times New Roman" w:hAnsi="Times New Roman"/>
            <w:b/>
            <w:i/>
            <w:szCs w:val="28"/>
          </w:rPr>
          <w:t>a.kaftaikina@invest.chukotka-gov.ru</w:t>
        </w:r>
      </w:hyperlink>
      <w:r w:rsidR="00226FDA">
        <w:rPr>
          <w:rFonts w:ascii="Times New Roman" w:hAnsi="Times New Roman"/>
          <w:color w:val="auto"/>
          <w:szCs w:val="28"/>
        </w:rPr>
        <w:t xml:space="preserve">  </w:t>
      </w:r>
      <w:r w:rsidRPr="005844F5">
        <w:rPr>
          <w:rFonts w:ascii="Times New Roman" w:hAnsi="Times New Roman"/>
          <w:iCs/>
          <w:color w:val="auto"/>
          <w:szCs w:val="28"/>
        </w:rPr>
        <w:t>(приводится адрес электронной почты органа, осуществляющего экспертизу, указанный в реквизитах официального бланка)</w:t>
      </w:r>
      <w:r w:rsidRPr="005844F5">
        <w:rPr>
          <w:rFonts w:ascii="Times New Roman" w:hAnsi="Times New Roman"/>
          <w:color w:val="auto"/>
          <w:szCs w:val="28"/>
        </w:rPr>
        <w:t xml:space="preserve">, либо по адресу </w:t>
      </w:r>
      <w:r w:rsidR="00226FDA" w:rsidRPr="00226FDA">
        <w:rPr>
          <w:rFonts w:ascii="Times New Roman" w:hAnsi="Times New Roman"/>
          <w:b/>
          <w:i/>
          <w:color w:val="auto"/>
          <w:szCs w:val="28"/>
          <w:u w:val="single"/>
        </w:rPr>
        <w:t xml:space="preserve">689000, гор. Анадырь, ул. </w:t>
      </w:r>
      <w:proofErr w:type="spellStart"/>
      <w:r w:rsidR="00226FDA" w:rsidRPr="00226FDA">
        <w:rPr>
          <w:rFonts w:ascii="Times New Roman" w:hAnsi="Times New Roman"/>
          <w:b/>
          <w:i/>
          <w:color w:val="auto"/>
          <w:szCs w:val="28"/>
          <w:u w:val="single"/>
        </w:rPr>
        <w:t>Отке</w:t>
      </w:r>
      <w:proofErr w:type="spellEnd"/>
      <w:r w:rsidR="00226FDA" w:rsidRPr="00226FDA">
        <w:rPr>
          <w:rFonts w:ascii="Times New Roman" w:hAnsi="Times New Roman"/>
          <w:b/>
          <w:i/>
          <w:color w:val="auto"/>
          <w:szCs w:val="28"/>
          <w:u w:val="single"/>
        </w:rPr>
        <w:t>, дом 2</w:t>
      </w:r>
      <w:r w:rsidRPr="005844F5">
        <w:rPr>
          <w:rFonts w:ascii="Times New Roman" w:hAnsi="Times New Roman"/>
          <w:color w:val="auto"/>
          <w:szCs w:val="28"/>
        </w:rPr>
        <w:t> </w:t>
      </w:r>
      <w:r w:rsidRPr="005844F5">
        <w:rPr>
          <w:rFonts w:ascii="Times New Roman" w:hAnsi="Times New Roman"/>
          <w:iCs/>
          <w:color w:val="auto"/>
          <w:szCs w:val="28"/>
        </w:rPr>
        <w:t>(приводится почтовый адрес органа, осуществляющего экспертизу)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14:paraId="65A3B5AC" w14:textId="77777777" w:rsidR="00091BD8" w:rsidRPr="005844F5" w:rsidRDefault="00091BD8" w:rsidP="00091BD8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Контактное лицо по вопросам проведения публичных консультаций:</w:t>
      </w:r>
    </w:p>
    <w:p w14:paraId="547D7F72" w14:textId="77777777" w:rsidR="00091BD8" w:rsidRPr="00226FDA" w:rsidRDefault="00226FDA" w:rsidP="00226FDA">
      <w:pPr>
        <w:pStyle w:val="Standard"/>
        <w:jc w:val="both"/>
        <w:rPr>
          <w:rFonts w:ascii="Times New Roman" w:hAnsi="Times New Roman"/>
          <w:i/>
          <w:color w:val="auto"/>
          <w:szCs w:val="28"/>
          <w:u w:val="single"/>
        </w:rPr>
      </w:pPr>
      <w:r w:rsidRPr="00226FDA">
        <w:rPr>
          <w:rFonts w:ascii="Times New Roman" w:hAnsi="Times New Roman"/>
          <w:i/>
          <w:color w:val="auto"/>
          <w:szCs w:val="28"/>
          <w:u w:val="single"/>
        </w:rPr>
        <w:t>Скрябикова Алёна Николаевна, заместитель начальника Департамента экономики и инвестиций Чукотского автономного округа, начальник Управления поддержки предпринимательских проектов, (42722) 6-93-36</w:t>
      </w:r>
    </w:p>
    <w:p w14:paraId="6D8F0AD5" w14:textId="77777777" w:rsidR="00091BD8" w:rsidRPr="00E973DB" w:rsidRDefault="00091BD8" w:rsidP="00091BD8">
      <w:pPr>
        <w:pStyle w:val="Standard"/>
        <w:ind w:firstLineChars="125" w:firstLine="275"/>
        <w:jc w:val="center"/>
        <w:rPr>
          <w:rFonts w:ascii="Times New Roman" w:hAnsi="Times New Roman"/>
          <w:iCs/>
          <w:color w:val="auto"/>
          <w:sz w:val="22"/>
          <w:szCs w:val="28"/>
        </w:rPr>
      </w:pPr>
      <w:r w:rsidRPr="00E973DB">
        <w:rPr>
          <w:rFonts w:ascii="Times New Roman" w:hAnsi="Times New Roman"/>
          <w:iCs/>
          <w:color w:val="auto"/>
          <w:sz w:val="22"/>
          <w:szCs w:val="28"/>
        </w:rPr>
        <w:t>(должность, ФИО, контактный телефон)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D836A8" w14:paraId="114E3AAB" w14:textId="77777777" w:rsidTr="00A92760">
        <w:tc>
          <w:tcPr>
            <w:tcW w:w="3544" w:type="dxa"/>
          </w:tcPr>
          <w:p w14:paraId="239F8617" w14:textId="77777777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Сроки приема предложений:</w:t>
            </w:r>
          </w:p>
        </w:tc>
        <w:tc>
          <w:tcPr>
            <w:tcW w:w="5811" w:type="dxa"/>
          </w:tcPr>
          <w:p w14:paraId="39E7EBCF" w14:textId="54FD472F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 «</w:t>
            </w:r>
            <w:r w:rsidR="008A1FE1" w:rsidRPr="008A1FE1">
              <w:rPr>
                <w:rFonts w:ascii="Times New Roman" w:hAnsi="Times New Roman"/>
                <w:color w:val="auto"/>
                <w:szCs w:val="28"/>
              </w:rPr>
              <w:t>30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»</w:t>
            </w:r>
            <w:r>
              <w:rPr>
                <w:rFonts w:ascii="Times New Roman" w:hAnsi="Times New Roman"/>
                <w:color w:val="auto"/>
                <w:szCs w:val="28"/>
              </w:rPr>
              <w:t xml:space="preserve"> сентября 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20</w:t>
            </w:r>
            <w:r>
              <w:rPr>
                <w:rFonts w:ascii="Times New Roman" w:hAnsi="Times New Roman"/>
                <w:color w:val="auto"/>
                <w:szCs w:val="28"/>
              </w:rPr>
              <w:t>25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г. по «</w:t>
            </w:r>
            <w:r w:rsidR="00E56D05" w:rsidRPr="00E56D05">
              <w:rPr>
                <w:rFonts w:ascii="Times New Roman" w:hAnsi="Times New Roman"/>
                <w:color w:val="auto"/>
                <w:szCs w:val="28"/>
              </w:rPr>
              <w:t>21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»</w:t>
            </w:r>
            <w:r>
              <w:rPr>
                <w:rFonts w:ascii="Times New Roman" w:hAnsi="Times New Roman"/>
                <w:color w:val="auto"/>
                <w:szCs w:val="28"/>
              </w:rPr>
              <w:t xml:space="preserve"> октября 2025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г.</w:t>
            </w:r>
          </w:p>
        </w:tc>
      </w:tr>
      <w:tr w:rsidR="006055A1" w14:paraId="492607A5" w14:textId="77777777" w:rsidTr="008B6E5B">
        <w:tc>
          <w:tcPr>
            <w:tcW w:w="9355" w:type="dxa"/>
            <w:gridSpan w:val="2"/>
          </w:tcPr>
          <w:p w14:paraId="012D7D21" w14:textId="05C52145" w:rsidR="006055A1" w:rsidRPr="00510AE7" w:rsidRDefault="006055A1" w:rsidP="006055A1">
            <w:pPr>
              <w:pStyle w:val="Standard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Все поступившие предложения будут рассмотрены не позднее «</w:t>
            </w:r>
            <w:r w:rsidR="00E56D05">
              <w:rPr>
                <w:rFonts w:ascii="Times New Roman" w:hAnsi="Times New Roman"/>
                <w:color w:val="auto"/>
                <w:szCs w:val="28"/>
              </w:rPr>
              <w:t>29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»</w:t>
            </w:r>
            <w:r w:rsidR="00E56D05">
              <w:rPr>
                <w:rFonts w:ascii="Times New Roman" w:hAnsi="Times New Roman"/>
                <w:color w:val="auto"/>
                <w:szCs w:val="28"/>
              </w:rPr>
              <w:t xml:space="preserve"> октября 2025 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г.</w:t>
            </w:r>
          </w:p>
        </w:tc>
      </w:tr>
      <w:tr w:rsidR="006055A1" w14:paraId="6780B98A" w14:textId="77777777" w:rsidTr="008F0737">
        <w:tc>
          <w:tcPr>
            <w:tcW w:w="9355" w:type="dxa"/>
            <w:gridSpan w:val="2"/>
          </w:tcPr>
          <w:p w14:paraId="530028AC" w14:textId="686D8F7B" w:rsidR="006055A1" w:rsidRPr="005844F5" w:rsidRDefault="006055A1" w:rsidP="00D836A8">
            <w:pPr>
              <w:pStyle w:val="Standard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Сводка предложений будет размещена на сайте </w:t>
            </w:r>
            <w:r w:rsidR="00093E22" w:rsidRPr="00093E22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https://dep.invest-chukotka.ru/orv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 не позднее </w:t>
            </w:r>
            <w:r w:rsidR="00E56D05" w:rsidRPr="00E56D05">
              <w:rPr>
                <w:rFonts w:ascii="Times New Roman" w:hAnsi="Times New Roman"/>
                <w:color w:val="auto"/>
                <w:szCs w:val="28"/>
                <w:u w:val="single"/>
              </w:rPr>
              <w:t>31 октября 2025 г.</w:t>
            </w:r>
          </w:p>
          <w:p w14:paraId="48252AB9" w14:textId="4E265A18" w:rsidR="006055A1" w:rsidRPr="00093E22" w:rsidRDefault="00093E22" w:rsidP="00D836A8">
            <w:pPr>
              <w:pStyle w:val="Standard"/>
              <w:ind w:firstLineChars="295" w:firstLine="590"/>
              <w:jc w:val="both"/>
              <w:rPr>
                <w:rFonts w:ascii="Times New Roman" w:hAnsi="Times New Roman"/>
                <w:iCs/>
                <w:color w:val="auto"/>
                <w:sz w:val="20"/>
                <w:szCs w:val="22"/>
              </w:rPr>
            </w:pPr>
            <w:r w:rsidRPr="00510AE7">
              <w:rPr>
                <w:rFonts w:ascii="Times New Roman" w:hAnsi="Times New Roman"/>
                <w:iCs/>
                <w:color w:val="auto"/>
                <w:sz w:val="20"/>
                <w:szCs w:val="22"/>
              </w:rPr>
              <w:t xml:space="preserve">    </w:t>
            </w:r>
            <w:r w:rsidR="006055A1" w:rsidRPr="00093E22">
              <w:rPr>
                <w:rFonts w:ascii="Times New Roman" w:hAnsi="Times New Roman"/>
                <w:iCs/>
                <w:color w:val="auto"/>
                <w:sz w:val="20"/>
                <w:szCs w:val="22"/>
              </w:rPr>
              <w:t>дата (число, месяц, год)</w:t>
            </w:r>
          </w:p>
          <w:p w14:paraId="54E4C5AF" w14:textId="77777777" w:rsidR="006055A1" w:rsidRDefault="006055A1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49DE8B44" w14:textId="77777777" w:rsidTr="00D836A8">
        <w:tc>
          <w:tcPr>
            <w:tcW w:w="9355" w:type="dxa"/>
            <w:gridSpan w:val="2"/>
          </w:tcPr>
          <w:p w14:paraId="505AE3B6" w14:textId="77777777" w:rsidR="00D836A8" w:rsidRDefault="00D836A8" w:rsidP="00D836A8">
            <w:pPr>
              <w:pStyle w:val="Standard"/>
              <w:ind w:firstLine="709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 Описание проблемы, на решение которой направлено правовое регулирование:</w:t>
            </w:r>
          </w:p>
        </w:tc>
      </w:tr>
      <w:tr w:rsidR="0043091D" w:rsidRPr="00332FFD" w14:paraId="61EE6D4B" w14:textId="77777777" w:rsidTr="00D836A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79919AD9" w14:textId="110C8B60" w:rsidR="00D836A8" w:rsidRPr="00332FFD" w:rsidRDefault="00244A0D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Отсутствие четких критериев и прозрачного механизма определения размера арендной платы за земельные участки, находящиеся в региональной собственности и передаваемые в аренду без проведения торгов, создает риски необоснованного занижения платежей, неэффективного использования земельных ресурсов, затрудняет администрирование доходов в региональный бюджет и может приводить к нарушению имущественных прав округа, а также к возникновению коррупционных схем при формировании условий арендных соглашений.</w:t>
            </w:r>
          </w:p>
        </w:tc>
      </w:tr>
      <w:tr w:rsidR="00D836A8" w14:paraId="56C5464E" w14:textId="77777777" w:rsidTr="00D836A8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12E3B6D5" w14:textId="77777777" w:rsidR="00D836A8" w:rsidRPr="00D836A8" w:rsidRDefault="00D836A8" w:rsidP="00D836A8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44E9C206" w14:textId="77777777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1A5BA1DF" w14:textId="77777777" w:rsidTr="00D836A8">
        <w:tc>
          <w:tcPr>
            <w:tcW w:w="9355" w:type="dxa"/>
            <w:gridSpan w:val="2"/>
          </w:tcPr>
          <w:p w14:paraId="69270E47" w14:textId="77777777" w:rsidR="00D836A8" w:rsidRDefault="00D836A8" w:rsidP="00D836A8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 Цели правового регулирования:</w:t>
            </w:r>
          </w:p>
        </w:tc>
      </w:tr>
      <w:tr w:rsidR="0070486B" w:rsidRPr="00332FFD" w14:paraId="1E77344B" w14:textId="77777777" w:rsidTr="00D836A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4BDAA84B" w14:textId="2CC6CC5C" w:rsidR="00D836A8" w:rsidRPr="00332FFD" w:rsidRDefault="00871258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Постановление Правительства Чукотского автономного округа от 18 апреля 2008 г. № 70 направлено на комплексное правовое регулирование отношений, связанных с определением размера арендной платы за земельные участки, находящиеся в собственности региона и передаваемые в аренду без торгов, включая установление прозрачного механизма расчёта платежей, защиту имущественных интересов округа, создание единой системы подходов к определению арендной платы для всех категорий арендаторов, обеспечение эффективного использования земельных ресурсов, предотвращение возможных злоупотреблений при формировании размера платы и создание правовой базы для администрирования доходов от аренды земельных участков в региональный бюджет.</w:t>
            </w:r>
          </w:p>
        </w:tc>
      </w:tr>
      <w:tr w:rsidR="00D836A8" w14:paraId="4B48B06A" w14:textId="77777777" w:rsidTr="00D836A8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5E1DDC10" w14:textId="77777777" w:rsidR="00D836A8" w:rsidRPr="00D836A8" w:rsidRDefault="00D836A8" w:rsidP="00D836A8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3A904235" w14:textId="77777777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4C77DAE5" w14:textId="77777777" w:rsidTr="00D836A8">
        <w:tc>
          <w:tcPr>
            <w:tcW w:w="9355" w:type="dxa"/>
            <w:gridSpan w:val="2"/>
          </w:tcPr>
          <w:p w14:paraId="3EA49F16" w14:textId="22D6A07C" w:rsidR="00D836A8" w:rsidRDefault="00D836A8" w:rsidP="00D836A8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 Действующие нормативные правовые акты, поручения, другие решения, из которых вытекает необходимость правового регулирования:</w:t>
            </w:r>
          </w:p>
        </w:tc>
      </w:tr>
      <w:tr w:rsidR="00D836A8" w:rsidRPr="00332FFD" w14:paraId="0087EA0D" w14:textId="77777777" w:rsidTr="00D836A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2D155D1B" w14:textId="05819783" w:rsidR="00D836A8" w:rsidRPr="00332FFD" w:rsidRDefault="00560EEC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- Земельный кодекс Российской Федерации;</w:t>
            </w:r>
          </w:p>
          <w:p w14:paraId="68C103B4" w14:textId="59FDA329" w:rsidR="00560EEC" w:rsidRPr="00332FFD" w:rsidRDefault="00560EEC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lastRenderedPageBreak/>
              <w:t>- Федеральный закон от 25 октября 2001 г. № 137-ФЗ «О введении в действие Земельного кодекса Российской Федерации»;</w:t>
            </w:r>
          </w:p>
          <w:p w14:paraId="1050F8D8" w14:textId="3C8DB36F" w:rsidR="00D836A8" w:rsidRPr="00332FFD" w:rsidRDefault="00560EEC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- Постановление Правительства РФ от 16 июля 2009 г. № 582 «Об основных принципах определения арендной платы при аренде земельных участков, находящихся в государственной или муниципальной собственности, и о Правилах определения размера арендной платы, а также порядка, условий и сроков внесения арендной платы за земли, находящиеся в собственности Российской Федерации»;</w:t>
            </w:r>
          </w:p>
          <w:p w14:paraId="4A3F1375" w14:textId="3D3A318F" w:rsidR="00560EEC" w:rsidRPr="00332FFD" w:rsidRDefault="00560EEC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- </w:t>
            </w:r>
            <w:r w:rsidR="00052618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Закон Чукотского автономного округа от 22 декабря 2015 г. № 141-ОЗ «О регулировании отдельных вопросов в сфере земельных отношений на территории Чукотского автономного округа»</w:t>
            </w:r>
            <w:r w:rsidR="00504743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;</w:t>
            </w:r>
          </w:p>
          <w:p w14:paraId="27A1AD73" w14:textId="6716B338" w:rsidR="00560EEC" w:rsidRPr="00332FFD" w:rsidRDefault="00504743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- Постановление Правительства Чукотского автономного округа от 15 июля 2024 г. </w:t>
            </w:r>
            <w:r w:rsidR="008C4EC0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№</w:t>
            </w: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232 </w:t>
            </w:r>
            <w:r w:rsidR="008C4EC0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«</w:t>
            </w: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О порядке определения соответствия объектов социально-культурного и коммунально-бытового назначения, а также инвестиционных проектов критериям, установленным частями 2 и 3 статьи 5 Закона Чукотского автономного округа от 22 декабря 2015 года </w:t>
            </w:r>
            <w:r w:rsidR="00623431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№ </w:t>
            </w: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141-ОЗ </w:t>
            </w:r>
            <w:r w:rsidR="00623431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«</w:t>
            </w: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 регулировании отдельных вопросов в сфере земельных отношений на территории Чукотского автономного округа</w:t>
            </w:r>
            <w:r w:rsidR="008C4EC0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»</w:t>
            </w:r>
          </w:p>
        </w:tc>
      </w:tr>
      <w:tr w:rsidR="00D836A8" w14:paraId="564B43DB" w14:textId="77777777" w:rsidTr="00D836A8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792A9CF5" w14:textId="77777777" w:rsidR="00D836A8" w:rsidRPr="00D836A8" w:rsidRDefault="00D836A8" w:rsidP="00D836A8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lastRenderedPageBreak/>
              <w:t>место для текстового описания</w:t>
            </w:r>
          </w:p>
          <w:p w14:paraId="72D45199" w14:textId="77777777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11D48705" w14:textId="77777777" w:rsidTr="000201EE">
        <w:tc>
          <w:tcPr>
            <w:tcW w:w="9355" w:type="dxa"/>
            <w:gridSpan w:val="2"/>
          </w:tcPr>
          <w:p w14:paraId="20770A58" w14:textId="77777777" w:rsidR="00D836A8" w:rsidRDefault="00D836A8" w:rsidP="00D836A8">
            <w:pPr>
              <w:pStyle w:val="Standard"/>
              <w:ind w:firstLineChars="295" w:firstLine="708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4. Сроки действия правового регулирования:</w:t>
            </w:r>
          </w:p>
        </w:tc>
      </w:tr>
      <w:tr w:rsidR="00D836A8" w:rsidRPr="00332FFD" w14:paraId="51CD7B16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120B2D17" w14:textId="0E0AB84A" w:rsidR="00D836A8" w:rsidRPr="00332FFD" w:rsidRDefault="00DD51E9" w:rsidP="00797EEB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с 18 апреля 2008 года, </w:t>
            </w:r>
            <w:r w:rsidR="00127DD8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бессрочно</w:t>
            </w:r>
          </w:p>
        </w:tc>
      </w:tr>
      <w:tr w:rsidR="00D836A8" w14:paraId="5AEE739F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52F7C984" w14:textId="77777777" w:rsidR="00D836A8" w:rsidRPr="00D836A8" w:rsidRDefault="00D836A8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06FAB495" w14:textId="77777777" w:rsidR="00D836A8" w:rsidRDefault="00D836A8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368CF353" w14:textId="77777777" w:rsidTr="007C487B">
        <w:tc>
          <w:tcPr>
            <w:tcW w:w="9355" w:type="dxa"/>
            <w:gridSpan w:val="2"/>
          </w:tcPr>
          <w:p w14:paraId="278BBAE0" w14:textId="484D6B51" w:rsidR="00D836A8" w:rsidRDefault="00D836A8" w:rsidP="00AA5781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 Негативные эффекты, возникающие в связи с отсутствием государственного регулирования в соответствующей сфере деятельности:</w:t>
            </w:r>
          </w:p>
        </w:tc>
      </w:tr>
      <w:tr w:rsidR="00D836A8" w:rsidRPr="00332FFD" w14:paraId="21BCCAE9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64335E7D" w14:textId="05957E41" w:rsidR="00D836A8" w:rsidRPr="00332FFD" w:rsidRDefault="00446BA0" w:rsidP="00446BA0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Отсутствие государственного регулирования в сфере определения арендной платы за земельные участки приводило к ряду негативных последствий: произвольному установлению размера платежей, что могло как ущемлять интересы бюджета региона, так и создавать чрезмерную нагрузку на арендаторов; неэффективному использованию земельных ресурсов из-за отсутствия чётких критериев их распределения; сложностям в планировании доходов регионального бюджета; возникновению коррупционных рисков при заключении договоров аренды; неравным условиям для различных категорий арендаторов; сложностям в контроле за целевым использованием земельных участков; снижению инвестиционной привлекательности региона из-за неопределённости условий аренды.</w:t>
            </w:r>
          </w:p>
        </w:tc>
      </w:tr>
      <w:tr w:rsidR="00D836A8" w14:paraId="78345E3A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62C11CE4" w14:textId="77777777" w:rsidR="00D836A8" w:rsidRPr="00D836A8" w:rsidRDefault="00D836A8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257E4546" w14:textId="77777777" w:rsidR="00D836A8" w:rsidRDefault="00D836A8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5394EEB3" w14:textId="77777777" w:rsidTr="00240B0A">
        <w:tc>
          <w:tcPr>
            <w:tcW w:w="9355" w:type="dxa"/>
            <w:gridSpan w:val="2"/>
          </w:tcPr>
          <w:p w14:paraId="0C0FC212" w14:textId="77777777" w:rsidR="00D836A8" w:rsidRDefault="00D836A8" w:rsidP="00261983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6. Группа участников отношений правового регулирования и их количественная оценка:</w:t>
            </w:r>
          </w:p>
        </w:tc>
      </w:tr>
      <w:tr w:rsidR="005116F9" w:rsidRPr="00332FFD" w14:paraId="2EC7F858" w14:textId="77777777" w:rsidTr="00C12751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65AB9214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Органы государственной власти:</w:t>
            </w:r>
          </w:p>
          <w:p w14:paraId="3BA439A3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Правительство Чукотского автономного округа</w:t>
            </w:r>
          </w:p>
          <w:p w14:paraId="19CD6664" w14:textId="2E76D3D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Департамент финансов и имущественных отношений Чукотского автономного округа</w:t>
            </w:r>
          </w:p>
          <w:p w14:paraId="1464EFDE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Кадастровая палата</w:t>
            </w:r>
          </w:p>
          <w:p w14:paraId="24A18502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63785E63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Арендаторы земельных участков:</w:t>
            </w:r>
          </w:p>
          <w:p w14:paraId="2D747F76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Юридические лица (коммерческие организации)</w:t>
            </w:r>
          </w:p>
          <w:p w14:paraId="24BB6633" w14:textId="3CF2267A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Количество: </w:t>
            </w:r>
            <w:r w:rsidR="0070486B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на 2025 г. – 6 арендаторов</w:t>
            </w:r>
          </w:p>
          <w:p w14:paraId="444C7909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44CC2530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Контролирующие органы:</w:t>
            </w:r>
          </w:p>
          <w:p w14:paraId="3FE6951F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Налоговые органы</w:t>
            </w:r>
          </w:p>
          <w:p w14:paraId="1E23822B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Органы земельного надзора</w:t>
            </w:r>
          </w:p>
          <w:p w14:paraId="2ABC6CF5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Счетная палата</w:t>
            </w:r>
          </w:p>
          <w:p w14:paraId="19ACC3B4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3A3FC315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lastRenderedPageBreak/>
              <w:t>Потенциальные инвесторы:</w:t>
            </w:r>
          </w:p>
          <w:p w14:paraId="1AD85664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Российские компании</w:t>
            </w:r>
          </w:p>
          <w:p w14:paraId="06DB3A83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Иностранные инвесторы</w:t>
            </w:r>
          </w:p>
          <w:p w14:paraId="41ACE7E3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Количество: динамично изменяющаяся группа</w:t>
            </w:r>
          </w:p>
          <w:p w14:paraId="2148C077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7F0C5644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Профессиональные участники рынка:</w:t>
            </w:r>
          </w:p>
          <w:p w14:paraId="67FB2245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Оценщики</w:t>
            </w:r>
          </w:p>
          <w:p w14:paraId="51BB2D25" w14:textId="77777777" w:rsidR="0029555A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Кадастровые инженеры</w:t>
            </w:r>
          </w:p>
          <w:p w14:paraId="5AD08DEF" w14:textId="5BEA7C55" w:rsidR="005116F9" w:rsidRPr="00332FFD" w:rsidRDefault="0029555A" w:rsidP="0029555A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Количество: несколько </w:t>
            </w:r>
            <w:r w:rsidR="00A7057C"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десятков </w:t>
            </w: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субъектов</w:t>
            </w:r>
          </w:p>
          <w:p w14:paraId="0DE1E983" w14:textId="77777777" w:rsidR="005116F9" w:rsidRPr="00332FFD" w:rsidRDefault="005116F9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</w:tc>
      </w:tr>
      <w:tr w:rsidR="005116F9" w14:paraId="179A3145" w14:textId="77777777" w:rsidTr="00C12751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488F12D2" w14:textId="77777777" w:rsidR="005116F9" w:rsidRPr="00D836A8" w:rsidRDefault="005116F9" w:rsidP="00C12751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lastRenderedPageBreak/>
              <w:t>место для текстового описания</w:t>
            </w:r>
          </w:p>
          <w:p w14:paraId="33D1EDBD" w14:textId="77777777" w:rsidR="005116F9" w:rsidRDefault="005116F9" w:rsidP="00C12751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195746EA" w14:textId="77777777" w:rsidTr="00A84F81">
        <w:tc>
          <w:tcPr>
            <w:tcW w:w="9355" w:type="dxa"/>
            <w:gridSpan w:val="2"/>
          </w:tcPr>
          <w:p w14:paraId="47B5825F" w14:textId="4DDE59FB" w:rsidR="00D836A8" w:rsidRDefault="00D836A8" w:rsidP="00D836A8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7. Оценка расходов (доходов) бюджета, связанных с введением правового регулирования:</w:t>
            </w:r>
          </w:p>
        </w:tc>
      </w:tr>
      <w:tr w:rsidR="00A84F81" w:rsidRPr="00332FFD" w14:paraId="1AB26F95" w14:textId="77777777" w:rsidTr="00A84F81">
        <w:tc>
          <w:tcPr>
            <w:tcW w:w="9355" w:type="dxa"/>
            <w:gridSpan w:val="2"/>
          </w:tcPr>
          <w:p w14:paraId="0A50C90F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Расходы бюджета, связанные с введением правового регулирования:</w:t>
            </w:r>
          </w:p>
          <w:p w14:paraId="583DE9D6" w14:textId="77777777" w:rsidR="00A84F81" w:rsidRPr="00332FFD" w:rsidRDefault="00A84F81" w:rsidP="00C12751">
            <w:pPr>
              <w:pStyle w:val="Standard"/>
              <w:ind w:left="321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Выпадающие доходы в связи с применением понижающего коэффициента – 647 565,53 рублей;</w:t>
            </w:r>
          </w:p>
          <w:p w14:paraId="5A40A915" w14:textId="77777777" w:rsidR="00A84F81" w:rsidRPr="00332FFD" w:rsidRDefault="00A84F81" w:rsidP="00C12751">
            <w:pPr>
              <w:pStyle w:val="Standard"/>
              <w:ind w:left="321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bookmarkStart w:id="0" w:name="_Hlk209793129"/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Организационные расходы на разработку и внедрение порядка определения арендной платы – 16 306,5 рублей</w:t>
            </w:r>
          </w:p>
          <w:p w14:paraId="7DA36B82" w14:textId="77777777" w:rsidR="00A84F81" w:rsidRPr="00332FFD" w:rsidRDefault="00A84F81" w:rsidP="00C12751">
            <w:pPr>
              <w:pStyle w:val="Standard"/>
              <w:ind w:left="321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Административные затраты на расчет и контроль платежей – 20 729,92 рублей</w:t>
            </w:r>
          </w:p>
          <w:p w14:paraId="0160551D" w14:textId="77777777" w:rsidR="00A84F81" w:rsidRPr="00332FFD" w:rsidRDefault="00A84F81" w:rsidP="00C12751">
            <w:pPr>
              <w:pStyle w:val="Standard"/>
              <w:ind w:left="321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Канцелярские расходы: 1 500 руб.</w:t>
            </w:r>
          </w:p>
          <w:p w14:paraId="67ADE8D0" w14:textId="77777777" w:rsidR="00A84F81" w:rsidRPr="00332FFD" w:rsidRDefault="00A84F81" w:rsidP="00C12751">
            <w:pPr>
              <w:pStyle w:val="Standard"/>
              <w:ind w:left="321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Информационные затраты на ведение базы данных и документооборот – 11 000 рублей</w:t>
            </w:r>
          </w:p>
          <w:bookmarkEnd w:id="0"/>
          <w:p w14:paraId="15C96502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6A34BCD0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Итого ежегодных расходов: </w:t>
            </w: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697 101,95</w:t>
            </w: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рублей</w:t>
            </w:r>
          </w:p>
          <w:p w14:paraId="043C7585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1E752FC2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Доходы бюджета, формирующиеся в результате правового регулирования:</w:t>
            </w:r>
          </w:p>
          <w:p w14:paraId="10B5E10C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</w:p>
          <w:p w14:paraId="2C874C59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bookmarkStart w:id="1" w:name="_Hlk209793524"/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Регулярные поступления от арендной платы за земельные участки:</w:t>
            </w:r>
          </w:p>
          <w:bookmarkEnd w:id="1"/>
          <w:p w14:paraId="5D88B4A4" w14:textId="77777777" w:rsidR="00A84F81" w:rsidRPr="00332FFD" w:rsidRDefault="00A84F81" w:rsidP="00C12751">
            <w:pPr>
              <w:pStyle w:val="Standard"/>
              <w:ind w:left="321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от субъектов малого и среднего предпринимательства - 82 677,61 руб.;</w:t>
            </w:r>
          </w:p>
          <w:p w14:paraId="6086EE43" w14:textId="77777777" w:rsidR="00A84F81" w:rsidRPr="00332FFD" w:rsidRDefault="00A84F81" w:rsidP="00C12751">
            <w:pPr>
              <w:pStyle w:val="Standard"/>
              <w:ind w:left="321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от организаций, образующие инфраструктуру поддержки МСП - 288 022,28 руб.;</w:t>
            </w:r>
          </w:p>
          <w:p w14:paraId="336F75C1" w14:textId="77777777" w:rsidR="00A84F81" w:rsidRPr="00332FFD" w:rsidRDefault="00A84F81" w:rsidP="00C12751">
            <w:pPr>
              <w:pStyle w:val="Standard"/>
              <w:ind w:left="321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от резидентов территорий с особыми преференциальными режимами - 153 893,46 руб.</w:t>
            </w:r>
          </w:p>
          <w:p w14:paraId="560538CA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216088C2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Итого ежегодных доходов: </w:t>
            </w: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524 593,35</w:t>
            </w: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рублей.</w:t>
            </w:r>
          </w:p>
          <w:p w14:paraId="0F6B391F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1F7B080C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Экономический эффект от введения регулирования:</w:t>
            </w:r>
          </w:p>
          <w:p w14:paraId="4DF06729" w14:textId="77777777" w:rsidR="00A84F81" w:rsidRPr="00332FFD" w:rsidRDefault="00A84F81" w:rsidP="00C1275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332FFD">
              <w:rPr>
                <w:rFonts w:ascii="Times New Roman" w:hAnsi="Times New Roman"/>
                <w:i/>
                <w:iCs/>
                <w:color w:val="auto"/>
                <w:szCs w:val="28"/>
              </w:rPr>
              <w:t>Чистый доход (убыток) за год: 524 593,35 – 697 101,95 = - 172 508,6 руб.</w:t>
            </w:r>
          </w:p>
        </w:tc>
      </w:tr>
      <w:tr w:rsidR="00261983" w14:paraId="792E6D92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57071DAE" w14:textId="77777777" w:rsidR="00261983" w:rsidRPr="00D836A8" w:rsidRDefault="00261983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470A821D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615122A6" w14:textId="77777777" w:rsidTr="009F0264">
        <w:tc>
          <w:tcPr>
            <w:tcW w:w="9355" w:type="dxa"/>
            <w:gridSpan w:val="2"/>
          </w:tcPr>
          <w:p w14:paraId="052E6E7B" w14:textId="77777777" w:rsidR="00261983" w:rsidRDefault="00261983" w:rsidP="00261983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8. Обязанности, запреты или ограничения для субъектов предпринимательской и инвестиционной деятельности, порядок организации их исполнения:</w:t>
            </w:r>
          </w:p>
        </w:tc>
      </w:tr>
      <w:tr w:rsidR="00261983" w:rsidRPr="00A00843" w14:paraId="3B2998CA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68372227" w14:textId="77777777" w:rsidR="00D10618" w:rsidRPr="00A00843" w:rsidRDefault="00D10618" w:rsidP="00D10618">
            <w:pPr>
              <w:pStyle w:val="Standard"/>
              <w:jc w:val="both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Постановление устанавливает следующие обязанности для субъектов предпринимательской и инвестиционной деятельности:</w:t>
            </w:r>
          </w:p>
          <w:p w14:paraId="067BD525" w14:textId="1339DB7C" w:rsidR="00D10618" w:rsidRPr="00A00843" w:rsidRDefault="00FF5F79" w:rsidP="00717872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1</w:t>
            </w:r>
            <w:r w:rsidR="00D10618"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) обязанность предоставления </w:t>
            </w:r>
            <w:r w:rsidR="001F021B"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заявлени</w:t>
            </w:r>
            <w:r w:rsidR="001F021B"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я</w:t>
            </w:r>
            <w:r w:rsidR="001F021B"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о применении понижающего коэффициента (перерасчете арендной платы с применением понижающего коэффициента)</w:t>
            </w:r>
            <w:r w:rsidR="00717872"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;</w:t>
            </w:r>
          </w:p>
          <w:p w14:paraId="1AE2B6C8" w14:textId="1787545C" w:rsidR="00FF5F79" w:rsidRPr="00A00843" w:rsidRDefault="00FF5F79" w:rsidP="00FF5F79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2</w:t>
            </w: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) обязанность по внесению арендной платы в установленные сроки согласно утвержденному порядку расчета</w:t>
            </w:r>
          </w:p>
          <w:p w14:paraId="4FA4894D" w14:textId="642CCB4C" w:rsidR="00D10618" w:rsidRPr="00A00843" w:rsidRDefault="00D10618" w:rsidP="00D10618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3) обязанность использования земельного участка в соответствии с целевым назначением</w:t>
            </w:r>
          </w:p>
          <w:p w14:paraId="76341E52" w14:textId="77777777" w:rsidR="00D10618" w:rsidRPr="00A00843" w:rsidRDefault="00D10618" w:rsidP="00D10618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FF0000"/>
                <w:szCs w:val="28"/>
              </w:rPr>
            </w:pPr>
          </w:p>
          <w:p w14:paraId="487C1757" w14:textId="77777777" w:rsidR="00D10618" w:rsidRPr="00A00843" w:rsidRDefault="00D10618" w:rsidP="00D10618">
            <w:pPr>
              <w:pStyle w:val="Standard"/>
              <w:jc w:val="both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Ограничения деятельности субъектов:</w:t>
            </w:r>
          </w:p>
          <w:p w14:paraId="7ACE6B03" w14:textId="0F500D93" w:rsidR="00D10618" w:rsidRPr="00A00843" w:rsidRDefault="00D10618" w:rsidP="00D10618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lastRenderedPageBreak/>
              <w:t>1) ограничение по размеру арендной платы, которая определяется по установленной методике;</w:t>
            </w:r>
          </w:p>
          <w:p w14:paraId="15AA8726" w14:textId="0D257B00" w:rsidR="00D10618" w:rsidRPr="00A00843" w:rsidRDefault="00D10618" w:rsidP="00D10618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2) ограничение по срокам внесения платежей согласно условиям договора аренды.</w:t>
            </w:r>
          </w:p>
          <w:p w14:paraId="4A0F7D8B" w14:textId="77777777" w:rsidR="00D10618" w:rsidRPr="00A00843" w:rsidRDefault="00D10618" w:rsidP="00D10618">
            <w:pPr>
              <w:pStyle w:val="Standard"/>
              <w:rPr>
                <w:rFonts w:ascii="Times New Roman" w:hAnsi="Times New Roman"/>
                <w:i/>
                <w:iCs/>
                <w:color w:val="FF0000"/>
                <w:szCs w:val="28"/>
              </w:rPr>
            </w:pPr>
          </w:p>
          <w:p w14:paraId="4F5014F0" w14:textId="77777777" w:rsidR="00D10618" w:rsidRPr="00A00843" w:rsidRDefault="00D10618" w:rsidP="00D10618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Порядок организации исполнения:</w:t>
            </w:r>
          </w:p>
          <w:p w14:paraId="0B4E20E6" w14:textId="77777777" w:rsidR="00D10618" w:rsidRPr="00A00843" w:rsidRDefault="00D10618" w:rsidP="00D10618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Процедура расчета арендной платы:</w:t>
            </w:r>
          </w:p>
          <w:p w14:paraId="6BC00A19" w14:textId="4F2F9856" w:rsidR="00D10618" w:rsidRPr="00A00843" w:rsidRDefault="00D10618" w:rsidP="00D10618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подача заявления в уполномоченный орган</w:t>
            </w:r>
          </w:p>
          <w:p w14:paraId="42B12ADA" w14:textId="7FD1187C" w:rsidR="00D10618" w:rsidRPr="00A00843" w:rsidRDefault="00D10618" w:rsidP="00D10618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рассмотрение документов</w:t>
            </w:r>
          </w:p>
          <w:p w14:paraId="3AF01BC3" w14:textId="450D7EF7" w:rsidR="00D10618" w:rsidRPr="00A00843" w:rsidRDefault="00D10618" w:rsidP="00D10618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расчет размера арендной платы</w:t>
            </w:r>
          </w:p>
          <w:p w14:paraId="668A0DA6" w14:textId="1401FA53" w:rsidR="00D10618" w:rsidRPr="00A00843" w:rsidRDefault="00D10618" w:rsidP="00D10618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оформление результатов расчета</w:t>
            </w:r>
          </w:p>
          <w:p w14:paraId="766B1B5B" w14:textId="77777777" w:rsidR="00FB0254" w:rsidRPr="00A00843" w:rsidRDefault="00FB0254" w:rsidP="00D10618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</w:p>
          <w:p w14:paraId="5154825D" w14:textId="09009545" w:rsidR="00D10618" w:rsidRPr="00A00843" w:rsidRDefault="00D10618" w:rsidP="00D10618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Запреты в рамках регулирования:</w:t>
            </w:r>
          </w:p>
          <w:p w14:paraId="2E935A10" w14:textId="53613655" w:rsidR="00D10618" w:rsidRPr="00A00843" w:rsidRDefault="00D10618" w:rsidP="00D10618">
            <w:pPr>
              <w:pStyle w:val="Standard"/>
              <w:numPr>
                <w:ilvl w:val="0"/>
                <w:numId w:val="6"/>
              </w:numPr>
              <w:ind w:left="1027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запрет на самовольное изменение размера арендной платы</w:t>
            </w:r>
          </w:p>
          <w:p w14:paraId="2F4AFD99" w14:textId="48E5E61D" w:rsidR="00D10618" w:rsidRPr="00A00843" w:rsidRDefault="00D10618" w:rsidP="00D10618">
            <w:pPr>
              <w:pStyle w:val="Standard"/>
              <w:numPr>
                <w:ilvl w:val="0"/>
                <w:numId w:val="6"/>
              </w:numPr>
              <w:ind w:left="1027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A00843">
              <w:rPr>
                <w:rFonts w:ascii="Times New Roman" w:hAnsi="Times New Roman"/>
                <w:i/>
                <w:iCs/>
                <w:color w:val="auto"/>
                <w:szCs w:val="28"/>
              </w:rPr>
              <w:t>запрет на использование участка не по целевому назначению</w:t>
            </w:r>
          </w:p>
          <w:p w14:paraId="3F6FB2C2" w14:textId="77777777" w:rsidR="00261983" w:rsidRPr="00A00843" w:rsidRDefault="00261983" w:rsidP="00196E35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</w:tc>
      </w:tr>
      <w:tr w:rsidR="00261983" w14:paraId="011B1326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45D75A4B" w14:textId="77777777" w:rsidR="00261983" w:rsidRPr="00D836A8" w:rsidRDefault="00261983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lastRenderedPageBreak/>
              <w:t>место для текстового описания</w:t>
            </w:r>
          </w:p>
          <w:p w14:paraId="71AFD213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34A2B11B" w14:textId="77777777" w:rsidTr="00C72D4E">
        <w:tc>
          <w:tcPr>
            <w:tcW w:w="9355" w:type="dxa"/>
            <w:gridSpan w:val="2"/>
          </w:tcPr>
          <w:p w14:paraId="06BA502E" w14:textId="77777777" w:rsidR="00261983" w:rsidRDefault="00261983" w:rsidP="00261983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 Оценка расходов субъектов предпринимательской и инвестиционной деятельности, связанных с необходимостью соблюдения установленных обязанностей, запретов или ограничений:</w:t>
            </w:r>
          </w:p>
        </w:tc>
      </w:tr>
      <w:tr w:rsidR="009C0AD4" w:rsidRPr="009C0AD4" w14:paraId="7801CAD8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0111AC21" w14:textId="524640F3" w:rsidR="007C48B1" w:rsidRPr="009C0AD4" w:rsidRDefault="007C48B1" w:rsidP="007C48B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Прямые расходы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субъектов предпринимательской деятельности:</w:t>
            </w:r>
          </w:p>
          <w:p w14:paraId="1E052D9B" w14:textId="77777777" w:rsidR="007C48B1" w:rsidRPr="009C0AD4" w:rsidRDefault="007C48B1" w:rsidP="007C48B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47B365F3" w14:textId="4C5A0833" w:rsidR="007C48B1" w:rsidRPr="009C0AD4" w:rsidRDefault="00D97409" w:rsidP="00D97409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 xml:space="preserve">1. </w:t>
            </w:r>
            <w:r w:rsidR="007C48B1" w:rsidRPr="009C0AD4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Оформление документов</w:t>
            </w:r>
            <w:r w:rsidR="007C48B1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(единовременные затраты):</w:t>
            </w:r>
          </w:p>
          <w:p w14:paraId="639E6B80" w14:textId="77777777" w:rsidR="007C48B1" w:rsidRPr="009C0AD4" w:rsidRDefault="007C48B1" w:rsidP="007C48B1">
            <w:pPr>
              <w:pStyle w:val="Standard"/>
              <w:ind w:left="884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Подготовка заявления: 5 000 руб.</w:t>
            </w:r>
          </w:p>
          <w:p w14:paraId="4765BE54" w14:textId="629303B9" w:rsidR="007C48B1" w:rsidRPr="009C0AD4" w:rsidRDefault="007C48B1" w:rsidP="007C48B1">
            <w:pPr>
              <w:pStyle w:val="Standard"/>
              <w:ind w:left="884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Итого: </w:t>
            </w:r>
            <w:r w:rsidR="000E7143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5 0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00 руб.</w:t>
            </w:r>
          </w:p>
          <w:p w14:paraId="25436739" w14:textId="77777777" w:rsidR="007C48B1" w:rsidRPr="009C0AD4" w:rsidRDefault="007C48B1" w:rsidP="007C48B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25DBACDB" w14:textId="0882AEE2" w:rsidR="007C48B1" w:rsidRPr="009C0AD4" w:rsidRDefault="00D97409" w:rsidP="00D97409">
            <w:pPr>
              <w:pStyle w:val="Standard"/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 xml:space="preserve">2. </w:t>
            </w:r>
            <w:r w:rsidR="007C48B1" w:rsidRPr="009C0AD4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Регулярные платежи:</w:t>
            </w:r>
          </w:p>
          <w:p w14:paraId="7BBF5A6A" w14:textId="2909D477" w:rsidR="007C48B1" w:rsidRPr="009C0AD4" w:rsidRDefault="00D97409" w:rsidP="00D97409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D97409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2.1.</w:t>
            </w:r>
            <w:r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</w:t>
            </w:r>
            <w:r w:rsidR="007C48B1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Арендная плата (в зависимости от категории участка</w:t>
            </w:r>
            <w:r w:rsidR="000E7143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и площади объекта</w:t>
            </w:r>
            <w:r w:rsidR="007C48B1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)</w:t>
            </w:r>
            <w:r w:rsidR="000E7143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137 152,95 (в среднем за 2025 год)</w:t>
            </w:r>
          </w:p>
          <w:p w14:paraId="585B9681" w14:textId="77777777" w:rsidR="007C48B1" w:rsidRPr="009C0AD4" w:rsidRDefault="007C48B1" w:rsidP="007C48B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4CA9B252" w14:textId="00526D6B" w:rsidR="007C48B1" w:rsidRPr="009C0AD4" w:rsidRDefault="00D97409" w:rsidP="00D97409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D97409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2.2.</w:t>
            </w:r>
            <w:r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</w:t>
            </w:r>
            <w:r w:rsidR="007C48B1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Административные издержки:</w:t>
            </w:r>
          </w:p>
          <w:p w14:paraId="787B1000" w14:textId="0745065E" w:rsidR="007C48B1" w:rsidRPr="009C0AD4" w:rsidRDefault="007C48B1" w:rsidP="007C48B1">
            <w:pPr>
              <w:pStyle w:val="Standard"/>
              <w:ind w:left="884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Содержание специалиста по документообороту</w:t>
            </w:r>
            <w:r w:rsidR="000E7143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и бухгалтерии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: </w:t>
            </w:r>
            <w:r w:rsidR="002F30B9">
              <w:rPr>
                <w:rFonts w:ascii="Times New Roman" w:hAnsi="Times New Roman"/>
                <w:i/>
                <w:iCs/>
                <w:color w:val="auto"/>
                <w:szCs w:val="28"/>
              </w:rPr>
              <w:t>20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000 руб./мес.</w:t>
            </w:r>
          </w:p>
          <w:p w14:paraId="2B95DB4D" w14:textId="79AE3753" w:rsidR="007C48B1" w:rsidRPr="009C0AD4" w:rsidRDefault="007C48B1" w:rsidP="007C48B1">
            <w:pPr>
              <w:pStyle w:val="Standard"/>
              <w:ind w:left="884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IT-поддержка</w:t>
            </w:r>
            <w:r w:rsidR="000E7143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и доступ к сети «Интернет»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: </w:t>
            </w:r>
            <w:r w:rsidR="000E7143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3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0 000 руб./мес.</w:t>
            </w:r>
          </w:p>
          <w:p w14:paraId="2F0ADD9C" w14:textId="77777777" w:rsidR="007C48B1" w:rsidRPr="009C0AD4" w:rsidRDefault="007C48B1" w:rsidP="007C48B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1C43D566" w14:textId="77777777" w:rsidR="007C48B1" w:rsidRPr="009C0AD4" w:rsidRDefault="007C48B1" w:rsidP="007C48B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18077828" w14:textId="77777777" w:rsidR="007C48B1" w:rsidRPr="009C0AD4" w:rsidRDefault="007C48B1" w:rsidP="007C48B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Экономический эффект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при соблюдении требований:</w:t>
            </w:r>
          </w:p>
          <w:p w14:paraId="231A64FC" w14:textId="77777777" w:rsidR="007C48B1" w:rsidRPr="009C0AD4" w:rsidRDefault="007C48B1" w:rsidP="00C073FC">
            <w:pPr>
              <w:pStyle w:val="Standard"/>
              <w:ind w:left="742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Снижение рисков потери участка</w:t>
            </w:r>
          </w:p>
          <w:p w14:paraId="22DB685E" w14:textId="77777777" w:rsidR="007C48B1" w:rsidRPr="009C0AD4" w:rsidRDefault="007C48B1" w:rsidP="00C073FC">
            <w:pPr>
              <w:pStyle w:val="Standard"/>
              <w:ind w:left="742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Прогнозируемость расходов</w:t>
            </w:r>
          </w:p>
          <w:p w14:paraId="6542F96D" w14:textId="77777777" w:rsidR="007C48B1" w:rsidRPr="009C0AD4" w:rsidRDefault="007C48B1" w:rsidP="00C073FC">
            <w:pPr>
              <w:pStyle w:val="Standard"/>
              <w:ind w:left="742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Устойчивость бизнеса</w:t>
            </w:r>
          </w:p>
          <w:p w14:paraId="06219716" w14:textId="77777777" w:rsidR="007C48B1" w:rsidRPr="009C0AD4" w:rsidRDefault="007C48B1" w:rsidP="00C073FC">
            <w:pPr>
              <w:pStyle w:val="Standard"/>
              <w:ind w:left="742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Инвестиционная привлекательность проекта</w:t>
            </w:r>
          </w:p>
          <w:p w14:paraId="51ADCD21" w14:textId="77777777" w:rsidR="007C48B1" w:rsidRPr="009C0AD4" w:rsidRDefault="007C48B1" w:rsidP="007C48B1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  <w:p w14:paraId="60712738" w14:textId="28F6AA0B" w:rsidR="00261983" w:rsidRPr="009C0AD4" w:rsidRDefault="007C48B1" w:rsidP="00C073FC">
            <w:pPr>
              <w:pStyle w:val="Standard"/>
              <w:jc w:val="both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Общая годовая нагрузка на среднего предпринимателя составляет от </w:t>
            </w:r>
            <w:r w:rsidR="002F30B9">
              <w:rPr>
                <w:rFonts w:ascii="Times New Roman" w:hAnsi="Times New Roman"/>
                <w:i/>
                <w:iCs/>
                <w:color w:val="auto"/>
                <w:szCs w:val="28"/>
              </w:rPr>
              <w:t>784,0</w:t>
            </w:r>
            <w:r w:rsidR="009C0AD4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тыс. рублей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до </w:t>
            </w:r>
            <w:r w:rsidR="002F30B9">
              <w:rPr>
                <w:rFonts w:ascii="Times New Roman" w:hAnsi="Times New Roman"/>
                <w:i/>
                <w:iCs/>
                <w:color w:val="auto"/>
                <w:szCs w:val="28"/>
              </w:rPr>
              <w:t>1 364,2</w:t>
            </w:r>
            <w:r w:rsidR="009C0AD4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тыс.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рублей в зависимости от масштаба деятельности</w:t>
            </w:r>
            <w:r w:rsidR="007C31AA">
              <w:rPr>
                <w:rFonts w:ascii="Times New Roman" w:hAnsi="Times New Roman"/>
                <w:i/>
                <w:iCs/>
                <w:color w:val="auto"/>
                <w:szCs w:val="28"/>
              </w:rPr>
              <w:t>, категории участника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и </w:t>
            </w:r>
            <w:r w:rsidR="009C0AD4"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>размера</w:t>
            </w:r>
            <w:r w:rsidRPr="009C0AD4">
              <w:rPr>
                <w:rFonts w:ascii="Times New Roman" w:hAnsi="Times New Roman"/>
                <w:i/>
                <w:iCs/>
                <w:color w:val="auto"/>
                <w:szCs w:val="28"/>
              </w:rPr>
              <w:t xml:space="preserve"> земельного участка.</w:t>
            </w:r>
          </w:p>
          <w:p w14:paraId="6FFA7FB2" w14:textId="77777777" w:rsidR="00261983" w:rsidRPr="009C0AD4" w:rsidRDefault="00261983" w:rsidP="00797EEB">
            <w:pPr>
              <w:pStyle w:val="Standard"/>
              <w:rPr>
                <w:rFonts w:ascii="Times New Roman" w:hAnsi="Times New Roman"/>
                <w:i/>
                <w:iCs/>
                <w:color w:val="auto"/>
                <w:szCs w:val="28"/>
              </w:rPr>
            </w:pPr>
          </w:p>
        </w:tc>
      </w:tr>
      <w:tr w:rsidR="00261983" w14:paraId="779F9D4B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77CFB1FB" w14:textId="77777777" w:rsidR="00261983" w:rsidRPr="00D836A8" w:rsidRDefault="00261983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75EBF193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716684D5" w14:textId="77777777" w:rsidTr="005F597B">
        <w:tc>
          <w:tcPr>
            <w:tcW w:w="9355" w:type="dxa"/>
            <w:gridSpan w:val="2"/>
          </w:tcPr>
          <w:p w14:paraId="4162410E" w14:textId="77777777" w:rsidR="00261983" w:rsidRDefault="00261983" w:rsidP="00261983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10. Иные сведения, которые, по мнению органа, осуществляющего экспертизу, позволяют оценить эффективность действующего регулирования:</w:t>
            </w:r>
          </w:p>
        </w:tc>
      </w:tr>
      <w:tr w:rsidR="00261983" w14:paraId="01DD94F7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0502DBEA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  <w:p w14:paraId="59BB4F49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1B2B5546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2CA87B5C" w14:textId="77777777" w:rsidR="00261983" w:rsidRPr="00D836A8" w:rsidRDefault="00261983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lastRenderedPageBreak/>
              <w:t>место для текстового описания</w:t>
            </w:r>
          </w:p>
          <w:p w14:paraId="569131AB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</w:tbl>
    <w:p w14:paraId="73E411E4" w14:textId="77777777" w:rsidR="00D836A8" w:rsidRDefault="00D836A8" w:rsidP="00091BD8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</w:p>
    <w:p w14:paraId="077090D5" w14:textId="77777777" w:rsidR="00091BD8" w:rsidRPr="005844F5" w:rsidRDefault="00091BD8" w:rsidP="00091BD8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 уведомлению прилагаются:</w:t>
      </w:r>
    </w:p>
    <w:p w14:paraId="0470EC16" w14:textId="77777777" w:rsidR="00091BD8" w:rsidRPr="005844F5" w:rsidRDefault="00091BD8" w:rsidP="00091BD8">
      <w:pPr>
        <w:pStyle w:val="Standard"/>
        <w:numPr>
          <w:ilvl w:val="0"/>
          <w:numId w:val="1"/>
        </w:numPr>
        <w:ind w:firstLineChars="20" w:firstLine="4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Электронная версия текста нормативного правового акта округа в редакции, действующей на момент размещения уведомления об экспертизе, и срок окончания публичных консультаций в отношении нормативного правового акта округа;</w:t>
      </w:r>
    </w:p>
    <w:p w14:paraId="7B1DBE03" w14:textId="77777777" w:rsidR="00091BD8" w:rsidRPr="005844F5" w:rsidRDefault="00091BD8" w:rsidP="00091BD8">
      <w:pPr>
        <w:pStyle w:val="Standard"/>
        <w:numPr>
          <w:ilvl w:val="0"/>
          <w:numId w:val="1"/>
        </w:numPr>
        <w:ind w:firstLineChars="20" w:firstLine="4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Перечень вопросов для участников публичных консультаций;</w:t>
      </w:r>
    </w:p>
    <w:p w14:paraId="3F0F77DE" w14:textId="5C82B90B" w:rsidR="00091BD8" w:rsidRPr="00123A03" w:rsidRDefault="00123A03" w:rsidP="00091BD8">
      <w:pPr>
        <w:pStyle w:val="Standard"/>
        <w:numPr>
          <w:ilvl w:val="0"/>
          <w:numId w:val="1"/>
        </w:numPr>
        <w:ind w:firstLineChars="20" w:firstLine="48"/>
        <w:rPr>
          <w:rFonts w:ascii="Times New Roman" w:hAnsi="Times New Roman"/>
          <w:color w:val="auto"/>
          <w:szCs w:val="28"/>
        </w:rPr>
      </w:pPr>
      <w:r w:rsidRPr="00123A03">
        <w:rPr>
          <w:rFonts w:ascii="Times New Roman" w:hAnsi="Times New Roman"/>
          <w:color w:val="auto"/>
          <w:szCs w:val="28"/>
        </w:rPr>
        <w:t>Материалы, представленные Департаментом финансов и имущественных отношений Чукотского автономного округа</w:t>
      </w:r>
      <w:r w:rsidR="00091BD8" w:rsidRPr="00123A03">
        <w:rPr>
          <w:rFonts w:ascii="Times New Roman" w:hAnsi="Times New Roman"/>
          <w:color w:val="auto"/>
          <w:szCs w:val="28"/>
        </w:rPr>
        <w:t>.</w:t>
      </w:r>
    </w:p>
    <w:p w14:paraId="4F766660" w14:textId="77777777" w:rsidR="00091BD8" w:rsidRPr="005844F5" w:rsidRDefault="00091BD8" w:rsidP="00091BD8">
      <w:pPr>
        <w:pStyle w:val="Standard"/>
        <w:ind w:firstLineChars="295" w:firstLine="826"/>
        <w:jc w:val="both"/>
        <w:rPr>
          <w:rFonts w:ascii="Times New Roman" w:hAnsi="Times New Roman"/>
          <w:color w:val="auto"/>
          <w:sz w:val="28"/>
          <w:szCs w:val="28"/>
        </w:rPr>
      </w:pPr>
    </w:p>
    <w:sectPr w:rsidR="00091BD8" w:rsidRPr="0058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B683E"/>
    <w:multiLevelType w:val="hybridMultilevel"/>
    <w:tmpl w:val="2B442882"/>
    <w:lvl w:ilvl="0" w:tplc="4050A5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B686C"/>
    <w:multiLevelType w:val="hybridMultilevel"/>
    <w:tmpl w:val="B64630DA"/>
    <w:lvl w:ilvl="0" w:tplc="0419000F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497F5A94"/>
    <w:multiLevelType w:val="hybridMultilevel"/>
    <w:tmpl w:val="0EB20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635AE"/>
    <w:multiLevelType w:val="hybridMultilevel"/>
    <w:tmpl w:val="4B10F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6AF9"/>
    <w:multiLevelType w:val="hybridMultilevel"/>
    <w:tmpl w:val="46884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7159D"/>
    <w:multiLevelType w:val="hybridMultilevel"/>
    <w:tmpl w:val="A592793A"/>
    <w:lvl w:ilvl="0" w:tplc="0419000F">
      <w:start w:val="1"/>
      <w:numFmt w:val="decimal"/>
      <w:lvlText w:val="%1."/>
      <w:lvlJc w:val="left"/>
      <w:pPr>
        <w:ind w:left="1747" w:hanging="360"/>
      </w:p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6" w15:restartNumberingAfterBreak="0">
    <w:nsid w:val="60C93BEC"/>
    <w:multiLevelType w:val="hybridMultilevel"/>
    <w:tmpl w:val="FC1C78E6"/>
    <w:lvl w:ilvl="0" w:tplc="F1B07F1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A1D1043"/>
    <w:multiLevelType w:val="multilevel"/>
    <w:tmpl w:val="0586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638733326">
    <w:abstractNumId w:val="6"/>
  </w:num>
  <w:num w:numId="2" w16cid:durableId="1948463214">
    <w:abstractNumId w:val="3"/>
  </w:num>
  <w:num w:numId="3" w16cid:durableId="2062248329">
    <w:abstractNumId w:val="2"/>
  </w:num>
  <w:num w:numId="4" w16cid:durableId="1836992144">
    <w:abstractNumId w:val="1"/>
  </w:num>
  <w:num w:numId="5" w16cid:durableId="2083526405">
    <w:abstractNumId w:val="5"/>
  </w:num>
  <w:num w:numId="6" w16cid:durableId="1697539594">
    <w:abstractNumId w:val="4"/>
  </w:num>
  <w:num w:numId="7" w16cid:durableId="1209220263">
    <w:abstractNumId w:val="0"/>
  </w:num>
  <w:num w:numId="8" w16cid:durableId="1369185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05"/>
    <w:rsid w:val="00000E4F"/>
    <w:rsid w:val="00013751"/>
    <w:rsid w:val="00046EA6"/>
    <w:rsid w:val="00052618"/>
    <w:rsid w:val="000852A9"/>
    <w:rsid w:val="00091BD8"/>
    <w:rsid w:val="00093E22"/>
    <w:rsid w:val="000B7364"/>
    <w:rsid w:val="000E7143"/>
    <w:rsid w:val="00103324"/>
    <w:rsid w:val="00123A03"/>
    <w:rsid w:val="00127DD8"/>
    <w:rsid w:val="00151E97"/>
    <w:rsid w:val="00171B15"/>
    <w:rsid w:val="00196E35"/>
    <w:rsid w:val="001C79E2"/>
    <w:rsid w:val="001D18FF"/>
    <w:rsid w:val="001F021B"/>
    <w:rsid w:val="00226FDA"/>
    <w:rsid w:val="00244677"/>
    <w:rsid w:val="00244A0D"/>
    <w:rsid w:val="00261983"/>
    <w:rsid w:val="0028356B"/>
    <w:rsid w:val="0029555A"/>
    <w:rsid w:val="002F30B9"/>
    <w:rsid w:val="00332FFD"/>
    <w:rsid w:val="00344E91"/>
    <w:rsid w:val="003B2C11"/>
    <w:rsid w:val="004113A0"/>
    <w:rsid w:val="0043091D"/>
    <w:rsid w:val="00446BA0"/>
    <w:rsid w:val="004B2050"/>
    <w:rsid w:val="004D7A7F"/>
    <w:rsid w:val="00504743"/>
    <w:rsid w:val="00510AE7"/>
    <w:rsid w:val="005116F9"/>
    <w:rsid w:val="00512A85"/>
    <w:rsid w:val="00560EEC"/>
    <w:rsid w:val="00570345"/>
    <w:rsid w:val="005C0C1C"/>
    <w:rsid w:val="005F3305"/>
    <w:rsid w:val="006055A1"/>
    <w:rsid w:val="00623431"/>
    <w:rsid w:val="00635082"/>
    <w:rsid w:val="0064389E"/>
    <w:rsid w:val="006E3248"/>
    <w:rsid w:val="006F75BC"/>
    <w:rsid w:val="00702BA9"/>
    <w:rsid w:val="0070486B"/>
    <w:rsid w:val="007174CC"/>
    <w:rsid w:val="00717872"/>
    <w:rsid w:val="00764E7E"/>
    <w:rsid w:val="007A77E8"/>
    <w:rsid w:val="007C31AA"/>
    <w:rsid w:val="007C48B1"/>
    <w:rsid w:val="00844D6C"/>
    <w:rsid w:val="00871258"/>
    <w:rsid w:val="008A1FE1"/>
    <w:rsid w:val="008C4EC0"/>
    <w:rsid w:val="008F165A"/>
    <w:rsid w:val="009B65AC"/>
    <w:rsid w:val="009C0AD4"/>
    <w:rsid w:val="009F2FD5"/>
    <w:rsid w:val="00A00843"/>
    <w:rsid w:val="00A515F1"/>
    <w:rsid w:val="00A7057C"/>
    <w:rsid w:val="00A84F81"/>
    <w:rsid w:val="00A92760"/>
    <w:rsid w:val="00AA5781"/>
    <w:rsid w:val="00B90588"/>
    <w:rsid w:val="00BB5A65"/>
    <w:rsid w:val="00C073D2"/>
    <w:rsid w:val="00C073FC"/>
    <w:rsid w:val="00C22554"/>
    <w:rsid w:val="00C42475"/>
    <w:rsid w:val="00D10618"/>
    <w:rsid w:val="00D35A74"/>
    <w:rsid w:val="00D4281E"/>
    <w:rsid w:val="00D836A8"/>
    <w:rsid w:val="00D8379F"/>
    <w:rsid w:val="00D97409"/>
    <w:rsid w:val="00DD51E9"/>
    <w:rsid w:val="00DD75AF"/>
    <w:rsid w:val="00E56D05"/>
    <w:rsid w:val="00E91138"/>
    <w:rsid w:val="00E973DB"/>
    <w:rsid w:val="00F87A81"/>
    <w:rsid w:val="00FB0254"/>
    <w:rsid w:val="00FC02D0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85EB"/>
  <w15:chartTrackingRefBased/>
  <w15:docId w15:val="{42BBFA05-DD26-484E-AFCC-2A63C21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1BD8"/>
    <w:pPr>
      <w:spacing w:after="0" w:line="240" w:lineRule="auto"/>
    </w:pPr>
    <w:rPr>
      <w:rFonts w:ascii="Liberation Serif" w:eastAsia="SimSun" w:hAnsi="Liberation Serif" w:cs="Times New Roman"/>
      <w:color w:val="00000A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226FD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8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kaftaikina@invest.chukotka-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Хаджаев Андрей Николаевич</dc:creator>
  <cp:keywords/>
  <dc:description/>
  <cp:lastModifiedBy>Скрябикова Алена Николаевна</cp:lastModifiedBy>
  <cp:revision>104</cp:revision>
  <dcterms:created xsi:type="dcterms:W3CDTF">2025-09-23T05:10:00Z</dcterms:created>
  <dcterms:modified xsi:type="dcterms:W3CDTF">2025-09-26T04:20:00Z</dcterms:modified>
</cp:coreProperties>
</file>