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1C12" w14:textId="77777777" w:rsidR="00091BD8" w:rsidRPr="005844F5" w:rsidRDefault="00091BD8" w:rsidP="00091BD8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Уведомление о проведении публичных консультаций </w:t>
      </w:r>
    </w:p>
    <w:p w14:paraId="36B7C5F1" w14:textId="77777777" w:rsidR="00091BD8" w:rsidRPr="005844F5" w:rsidRDefault="00091BD8" w:rsidP="00091BD8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в целях экспертизы нормативного правового акта</w:t>
      </w:r>
    </w:p>
    <w:p w14:paraId="43317B81" w14:textId="77777777" w:rsidR="00091BD8" w:rsidRPr="005844F5" w:rsidRDefault="00091BD8" w:rsidP="00091BD8">
      <w:pPr>
        <w:pStyle w:val="Standard"/>
        <w:ind w:firstLineChars="125" w:firstLine="300"/>
        <w:rPr>
          <w:rFonts w:ascii="Times New Roman" w:hAnsi="Times New Roman"/>
          <w:color w:val="auto"/>
          <w:szCs w:val="28"/>
        </w:rPr>
      </w:pPr>
    </w:p>
    <w:p w14:paraId="5C5BCC3E" w14:textId="77777777" w:rsidR="00091BD8" w:rsidRPr="005844F5" w:rsidRDefault="00091BD8" w:rsidP="00091BD8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Настоящим Департамент экономики и инвестиций Чукотского автономного округа извещает о начале обсуждения муниципального нормативного правового акта и сборе предложений заинтересованных лиц по</w:t>
      </w:r>
    </w:p>
    <w:p w14:paraId="48B75232" w14:textId="5FACCF58" w:rsidR="00C22554" w:rsidRPr="004D7A7F" w:rsidRDefault="007C7EAD" w:rsidP="00091BD8">
      <w:pPr>
        <w:pStyle w:val="Standard"/>
        <w:ind w:firstLineChars="125" w:firstLine="301"/>
        <w:jc w:val="center"/>
        <w:rPr>
          <w:rFonts w:ascii="Times New Roman" w:hAnsi="Times New Roman"/>
          <w:b/>
          <w:i/>
          <w:color w:val="auto"/>
          <w:szCs w:val="28"/>
          <w:u w:val="single"/>
        </w:rPr>
      </w:pPr>
      <w:r w:rsidRPr="007C7EAD">
        <w:rPr>
          <w:rFonts w:ascii="Times New Roman" w:hAnsi="Times New Roman"/>
          <w:b/>
          <w:i/>
          <w:color w:val="auto"/>
          <w:szCs w:val="28"/>
          <w:u w:val="single"/>
        </w:rPr>
        <w:t>Закон Чукотского автономного округа от 15 февраля 2010 г. № 06-ОЗ «О государственном регулировании розничной продажи алкогольной и спиртосодержащей продукции на территории Чукотского автономного округа»</w:t>
      </w:r>
    </w:p>
    <w:p w14:paraId="3BD922AE" w14:textId="77777777" w:rsidR="00091BD8" w:rsidRPr="00C22554" w:rsidRDefault="00091BD8" w:rsidP="00091BD8">
      <w:pPr>
        <w:pStyle w:val="Standard"/>
        <w:ind w:firstLineChars="125" w:firstLine="250"/>
        <w:jc w:val="center"/>
        <w:rPr>
          <w:rFonts w:ascii="Times New Roman" w:hAnsi="Times New Roman"/>
          <w:color w:val="auto"/>
          <w:sz w:val="20"/>
          <w:szCs w:val="28"/>
        </w:rPr>
      </w:pPr>
      <w:r w:rsidRPr="00C22554">
        <w:rPr>
          <w:rFonts w:ascii="Times New Roman" w:hAnsi="Times New Roman"/>
          <w:iCs/>
          <w:color w:val="auto"/>
          <w:sz w:val="20"/>
          <w:szCs w:val="28"/>
        </w:rPr>
        <w:t>(наименование нормативного правового акта)</w:t>
      </w:r>
    </w:p>
    <w:p w14:paraId="141430E0" w14:textId="77777777" w:rsidR="00091BD8" w:rsidRPr="005844F5" w:rsidRDefault="00091BD8" w:rsidP="00226FDA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Предложения принимаются по адресу электронной почты: </w:t>
      </w:r>
      <w:hyperlink r:id="rId5" w:history="1">
        <w:r w:rsidR="00226FDA" w:rsidRPr="00226FDA">
          <w:rPr>
            <w:rStyle w:val="a3"/>
            <w:rFonts w:ascii="Times New Roman" w:hAnsi="Times New Roman"/>
            <w:b/>
            <w:i/>
            <w:szCs w:val="28"/>
          </w:rPr>
          <w:t>a.kaftaikina@invest.chukotka-gov.ru</w:t>
        </w:r>
      </w:hyperlink>
      <w:r w:rsidR="00226FDA">
        <w:rPr>
          <w:rFonts w:ascii="Times New Roman" w:hAnsi="Times New Roman"/>
          <w:color w:val="auto"/>
          <w:szCs w:val="28"/>
        </w:rPr>
        <w:t xml:space="preserve">  </w:t>
      </w:r>
      <w:r w:rsidRPr="005844F5">
        <w:rPr>
          <w:rFonts w:ascii="Times New Roman" w:hAnsi="Times New Roman"/>
          <w:iCs/>
          <w:color w:val="auto"/>
          <w:szCs w:val="28"/>
        </w:rPr>
        <w:t>(приводится адрес электронной почты органа, осуществляющего экспертизу, указанный в реквизитах официального бланка)</w:t>
      </w:r>
      <w:r w:rsidRPr="005844F5">
        <w:rPr>
          <w:rFonts w:ascii="Times New Roman" w:hAnsi="Times New Roman"/>
          <w:color w:val="auto"/>
          <w:szCs w:val="28"/>
        </w:rPr>
        <w:t xml:space="preserve">, либо по адресу </w:t>
      </w:r>
      <w:r w:rsidR="00226FDA" w:rsidRPr="00226FDA">
        <w:rPr>
          <w:rFonts w:ascii="Times New Roman" w:hAnsi="Times New Roman"/>
          <w:b/>
          <w:i/>
          <w:color w:val="auto"/>
          <w:szCs w:val="28"/>
          <w:u w:val="single"/>
        </w:rPr>
        <w:t xml:space="preserve">689000, гор. Анадырь, ул. </w:t>
      </w:r>
      <w:proofErr w:type="spellStart"/>
      <w:r w:rsidR="00226FDA" w:rsidRPr="00226FDA">
        <w:rPr>
          <w:rFonts w:ascii="Times New Roman" w:hAnsi="Times New Roman"/>
          <w:b/>
          <w:i/>
          <w:color w:val="auto"/>
          <w:szCs w:val="28"/>
          <w:u w:val="single"/>
        </w:rPr>
        <w:t>Отке</w:t>
      </w:r>
      <w:proofErr w:type="spellEnd"/>
      <w:r w:rsidR="00226FDA" w:rsidRPr="00226FDA">
        <w:rPr>
          <w:rFonts w:ascii="Times New Roman" w:hAnsi="Times New Roman"/>
          <w:b/>
          <w:i/>
          <w:color w:val="auto"/>
          <w:szCs w:val="28"/>
          <w:u w:val="single"/>
        </w:rPr>
        <w:t>, дом 2</w:t>
      </w:r>
      <w:r w:rsidRPr="005844F5">
        <w:rPr>
          <w:rFonts w:ascii="Times New Roman" w:hAnsi="Times New Roman"/>
          <w:color w:val="auto"/>
          <w:szCs w:val="28"/>
        </w:rPr>
        <w:t> </w:t>
      </w:r>
      <w:r w:rsidRPr="005844F5">
        <w:rPr>
          <w:rFonts w:ascii="Times New Roman" w:hAnsi="Times New Roman"/>
          <w:iCs/>
          <w:color w:val="auto"/>
          <w:szCs w:val="28"/>
        </w:rPr>
        <w:t>(приводится почтовый адрес органа, осуществляющего экспертизу)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14:paraId="65A3B5AC" w14:textId="77777777" w:rsidR="00091BD8" w:rsidRPr="005844F5" w:rsidRDefault="00091BD8" w:rsidP="00091BD8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Контактное лицо по вопросам проведения публичных консультаций:</w:t>
      </w:r>
    </w:p>
    <w:p w14:paraId="547D7F72" w14:textId="77777777" w:rsidR="00091BD8" w:rsidRPr="00226FDA" w:rsidRDefault="00226FDA" w:rsidP="00226FDA">
      <w:pPr>
        <w:pStyle w:val="Standard"/>
        <w:jc w:val="both"/>
        <w:rPr>
          <w:rFonts w:ascii="Times New Roman" w:hAnsi="Times New Roman"/>
          <w:i/>
          <w:color w:val="auto"/>
          <w:szCs w:val="28"/>
          <w:u w:val="single"/>
        </w:rPr>
      </w:pPr>
      <w:r w:rsidRPr="00226FDA">
        <w:rPr>
          <w:rFonts w:ascii="Times New Roman" w:hAnsi="Times New Roman"/>
          <w:i/>
          <w:color w:val="auto"/>
          <w:szCs w:val="28"/>
          <w:u w:val="single"/>
        </w:rPr>
        <w:t>Скрябикова Алёна Николаевна, заместитель начальника Департамента экономики и инвестиций Чукотского автономного округа, начальник Управления поддержки предпринимательских проектов, (42722) 6-93-36</w:t>
      </w:r>
    </w:p>
    <w:p w14:paraId="6D8F0AD5" w14:textId="77777777" w:rsidR="00091BD8" w:rsidRPr="00E973DB" w:rsidRDefault="00091BD8" w:rsidP="00091BD8">
      <w:pPr>
        <w:pStyle w:val="Standard"/>
        <w:ind w:firstLineChars="125" w:firstLine="275"/>
        <w:jc w:val="center"/>
        <w:rPr>
          <w:rFonts w:ascii="Times New Roman" w:hAnsi="Times New Roman"/>
          <w:iCs/>
          <w:color w:val="auto"/>
          <w:sz w:val="22"/>
          <w:szCs w:val="28"/>
        </w:rPr>
      </w:pPr>
      <w:r w:rsidRPr="00E973DB">
        <w:rPr>
          <w:rFonts w:ascii="Times New Roman" w:hAnsi="Times New Roman"/>
          <w:iCs/>
          <w:color w:val="auto"/>
          <w:sz w:val="22"/>
          <w:szCs w:val="28"/>
        </w:rPr>
        <w:t>(должность, ФИО, контактный телефон)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D836A8" w14:paraId="114E3AAB" w14:textId="77777777" w:rsidTr="00A92760">
        <w:tc>
          <w:tcPr>
            <w:tcW w:w="3544" w:type="dxa"/>
          </w:tcPr>
          <w:p w14:paraId="239F8617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Сроки приема предложений:</w:t>
            </w:r>
          </w:p>
        </w:tc>
        <w:tc>
          <w:tcPr>
            <w:tcW w:w="5811" w:type="dxa"/>
          </w:tcPr>
          <w:p w14:paraId="39E7EBCF" w14:textId="135398D9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 «</w:t>
            </w:r>
            <w:r w:rsidR="00521ECE" w:rsidRPr="00521ECE">
              <w:rPr>
                <w:rFonts w:ascii="Times New Roman" w:hAnsi="Times New Roman"/>
                <w:color w:val="auto"/>
                <w:szCs w:val="28"/>
              </w:rPr>
              <w:t>2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»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</w:t>
            </w:r>
            <w:r w:rsidR="00521ECE">
              <w:rPr>
                <w:rFonts w:ascii="Times New Roman" w:hAnsi="Times New Roman"/>
                <w:color w:val="auto"/>
                <w:szCs w:val="28"/>
              </w:rPr>
              <w:t>октября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20</w:t>
            </w:r>
            <w:r>
              <w:rPr>
                <w:rFonts w:ascii="Times New Roman" w:hAnsi="Times New Roman"/>
                <w:color w:val="auto"/>
                <w:szCs w:val="28"/>
              </w:rPr>
              <w:t>25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г. по «</w:t>
            </w:r>
            <w:r w:rsidR="00521ECE" w:rsidRPr="00521ECE">
              <w:rPr>
                <w:rFonts w:ascii="Times New Roman" w:hAnsi="Times New Roman"/>
                <w:color w:val="auto"/>
                <w:szCs w:val="28"/>
              </w:rPr>
              <w:t>22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»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октября 2025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г.</w:t>
            </w:r>
          </w:p>
        </w:tc>
      </w:tr>
      <w:tr w:rsidR="006055A1" w14:paraId="492607A5" w14:textId="77777777" w:rsidTr="008B6E5B">
        <w:tc>
          <w:tcPr>
            <w:tcW w:w="9355" w:type="dxa"/>
            <w:gridSpan w:val="2"/>
          </w:tcPr>
          <w:p w14:paraId="012D7D21" w14:textId="2280B06A" w:rsidR="006055A1" w:rsidRPr="007C7EAD" w:rsidRDefault="006055A1" w:rsidP="006055A1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Все поступившие предложения будут рассмотрены не позднее «</w:t>
            </w:r>
            <w:r w:rsidR="00217A70">
              <w:rPr>
                <w:rFonts w:ascii="Times New Roman" w:hAnsi="Times New Roman"/>
                <w:color w:val="auto"/>
                <w:szCs w:val="28"/>
              </w:rPr>
              <w:t>30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»</w:t>
            </w:r>
            <w:r w:rsidR="00217A70">
              <w:rPr>
                <w:rFonts w:ascii="Times New Roman" w:hAnsi="Times New Roman"/>
                <w:color w:val="auto"/>
                <w:szCs w:val="28"/>
              </w:rPr>
              <w:t xml:space="preserve"> октября 2025 года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.</w:t>
            </w:r>
          </w:p>
        </w:tc>
      </w:tr>
      <w:tr w:rsidR="006055A1" w14:paraId="6780B98A" w14:textId="77777777" w:rsidTr="008F0737">
        <w:tc>
          <w:tcPr>
            <w:tcW w:w="9355" w:type="dxa"/>
            <w:gridSpan w:val="2"/>
          </w:tcPr>
          <w:p w14:paraId="530028AC" w14:textId="082304B6" w:rsidR="006055A1" w:rsidRPr="005844F5" w:rsidRDefault="006055A1" w:rsidP="00D836A8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Сводка предложений будет размещена на сайте </w:t>
            </w:r>
            <w:r w:rsidR="00093E22" w:rsidRPr="00093E22">
              <w:rPr>
                <w:rFonts w:ascii="Times New Roman" w:hAnsi="Times New Roman"/>
                <w:b/>
                <w:bCs/>
                <w:i/>
                <w:iCs/>
                <w:color w:val="auto"/>
                <w:szCs w:val="28"/>
              </w:rPr>
              <w:t>https://dep.invest-chukotka.ru/orv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 не позднее </w:t>
            </w:r>
            <w:r w:rsidR="00217A70">
              <w:rPr>
                <w:rFonts w:ascii="Times New Roman" w:hAnsi="Times New Roman"/>
                <w:color w:val="auto"/>
                <w:szCs w:val="28"/>
              </w:rPr>
              <w:t>22 октября 2025 года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.</w:t>
            </w:r>
          </w:p>
          <w:p w14:paraId="48252AB9" w14:textId="5F6B7402" w:rsidR="006055A1" w:rsidRPr="00093E22" w:rsidRDefault="00093E22" w:rsidP="00D836A8">
            <w:pPr>
              <w:pStyle w:val="Standard"/>
              <w:ind w:firstLineChars="295" w:firstLine="590"/>
              <w:jc w:val="both"/>
              <w:rPr>
                <w:rFonts w:ascii="Times New Roman" w:hAnsi="Times New Roman"/>
                <w:iCs/>
                <w:color w:val="auto"/>
                <w:sz w:val="20"/>
                <w:szCs w:val="22"/>
              </w:rPr>
            </w:pPr>
            <w:r w:rsidRPr="007C7EAD">
              <w:rPr>
                <w:rFonts w:ascii="Times New Roman" w:hAnsi="Times New Roman"/>
                <w:iCs/>
                <w:color w:val="auto"/>
                <w:sz w:val="20"/>
                <w:szCs w:val="22"/>
              </w:rPr>
              <w:t xml:space="preserve">                          </w:t>
            </w:r>
            <w:r w:rsidR="006055A1" w:rsidRPr="00093E22">
              <w:rPr>
                <w:rFonts w:ascii="Times New Roman" w:hAnsi="Times New Roman"/>
                <w:iCs/>
                <w:color w:val="auto"/>
                <w:sz w:val="20"/>
                <w:szCs w:val="22"/>
              </w:rPr>
              <w:t>дата (число, месяц, год)</w:t>
            </w:r>
          </w:p>
          <w:p w14:paraId="54E4C5AF" w14:textId="77777777" w:rsidR="006055A1" w:rsidRDefault="006055A1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49DE8B44" w14:textId="77777777" w:rsidTr="00D836A8">
        <w:tc>
          <w:tcPr>
            <w:tcW w:w="9355" w:type="dxa"/>
            <w:gridSpan w:val="2"/>
          </w:tcPr>
          <w:p w14:paraId="505AE3B6" w14:textId="77777777" w:rsidR="00D836A8" w:rsidRDefault="00D836A8" w:rsidP="00D836A8">
            <w:pPr>
              <w:pStyle w:val="Standard"/>
              <w:ind w:firstLine="709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 Описание проблемы, на решение которой направлено правовое регулирование:</w:t>
            </w:r>
          </w:p>
        </w:tc>
      </w:tr>
      <w:tr w:rsidR="00BA1CDD" w:rsidRPr="00BA1CDD" w14:paraId="61EE6D4B" w14:textId="77777777" w:rsidTr="00D836A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79919AD9" w14:textId="2CA28860" w:rsidR="00D836A8" w:rsidRPr="00BA1CDD" w:rsidRDefault="008313BC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Правовое регулирование Закона Чукотского автономного округа от 15 февраля 2010 г. № 06-ОЗ направлено на решение комплексной проблемы, связанной с необходимостью упорядочения оборота алкогольной и спиртосодержащей продукции на территории Чукотского автономного округа, включая предотвращение нелегальной торговли спиртными напитками, защиту здоровья населения от негативных последствий злоупотребления алкоголем, обеспечение соблюдения законодательства в сфере розничной продажи алкоголя, а также создание эффективной системы государственного контроля за данным видом деятельности с учетом географических, климатических и социально-демографических особенностей региона.</w:t>
            </w:r>
          </w:p>
        </w:tc>
      </w:tr>
      <w:tr w:rsidR="00D836A8" w14:paraId="56C5464E" w14:textId="77777777" w:rsidTr="00D836A8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12E3B6D5" w14:textId="77777777" w:rsidR="00D836A8" w:rsidRPr="00D836A8" w:rsidRDefault="00D836A8" w:rsidP="00D836A8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44E9C206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1A5BA1DF" w14:textId="77777777" w:rsidTr="00D836A8">
        <w:tc>
          <w:tcPr>
            <w:tcW w:w="9355" w:type="dxa"/>
            <w:gridSpan w:val="2"/>
          </w:tcPr>
          <w:p w14:paraId="69270E47" w14:textId="77777777" w:rsidR="00D836A8" w:rsidRDefault="00D836A8" w:rsidP="00D836A8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 Цели правового регулирования:</w:t>
            </w:r>
          </w:p>
        </w:tc>
      </w:tr>
      <w:tr w:rsidR="00BA1CDD" w:rsidRPr="00BA1CDD" w14:paraId="1E77344B" w14:textId="77777777" w:rsidTr="00D836A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6393B6C2" w14:textId="01E6E853" w:rsidR="008313BC" w:rsidRPr="00BA1CDD" w:rsidRDefault="008313BC" w:rsidP="00BA1CDD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Основными целями правового регулирования являются: обеспечение защиты жизни и здоровья граждан Чукотского автономного округа от негативных последствий потребления алкогольной и спиртосодержащей продукции; создание эффективной системы государственного контроля за розничной продажей алкоголя; предотвращение нелегального оборота спиртных напитков; формирование механизмов, препятствующих злоупотреблению алкогольной продукцией; обеспечение соблюдения законодательства в сфере розничной торговли алкоголем; учет специфики региона при организации торговли спиртными напитками; обеспечение баланса между экономическими интересами предпринимателей и необходимостью охраны общественного здоровья.</w:t>
            </w:r>
          </w:p>
          <w:p w14:paraId="1138F9A4" w14:textId="6771073C" w:rsidR="008313BC" w:rsidRPr="00BA1CDD" w:rsidRDefault="008313BC" w:rsidP="00BA1CDD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  <w:highlight w:val="yellow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 xml:space="preserve">Закон разработан в целях реализации предоставленного федеральным законодательством права субъекта Российской </w:t>
            </w:r>
            <w:proofErr w:type="gramStart"/>
            <w:r w:rsidRPr="00BA1CDD">
              <w:rPr>
                <w:rFonts w:ascii="Times New Roman" w:hAnsi="Times New Roman"/>
                <w:color w:val="auto"/>
                <w:szCs w:val="28"/>
              </w:rPr>
              <w:t>Федерации  устанавливать</w:t>
            </w:r>
            <w:proofErr w:type="gramEnd"/>
            <w:r w:rsidRPr="00BA1CDD">
              <w:rPr>
                <w:rFonts w:ascii="Times New Roman" w:hAnsi="Times New Roman"/>
                <w:color w:val="auto"/>
                <w:szCs w:val="28"/>
              </w:rPr>
              <w:t xml:space="preserve"> законом субъекта Российской Федерации дополнительные ограничения розничной продажи алкогольной продукции.</w:t>
            </w:r>
          </w:p>
          <w:p w14:paraId="39463081" w14:textId="77777777" w:rsidR="008313BC" w:rsidRPr="00BA1CDD" w:rsidRDefault="008313BC" w:rsidP="00BA1CDD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  <w:highlight w:val="yellow"/>
              </w:rPr>
            </w:pPr>
          </w:p>
          <w:p w14:paraId="4BDAA84B" w14:textId="126B5B39" w:rsidR="00D836A8" w:rsidRPr="00BA1CDD" w:rsidRDefault="008313BC" w:rsidP="00BA1CDD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  <w:highlight w:val="yellow"/>
              </w:rPr>
              <w:lastRenderedPageBreak/>
              <w:t xml:space="preserve"> </w:t>
            </w:r>
          </w:p>
        </w:tc>
      </w:tr>
      <w:tr w:rsidR="00D836A8" w14:paraId="4B48B06A" w14:textId="77777777" w:rsidTr="00D836A8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5E1DDC10" w14:textId="77777777" w:rsidR="00D836A8" w:rsidRPr="00D836A8" w:rsidRDefault="00D836A8" w:rsidP="00D836A8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lastRenderedPageBreak/>
              <w:t>место для текстового описания</w:t>
            </w:r>
          </w:p>
          <w:p w14:paraId="3A904235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4C77DAE5" w14:textId="77777777" w:rsidTr="00D836A8">
        <w:tc>
          <w:tcPr>
            <w:tcW w:w="9355" w:type="dxa"/>
            <w:gridSpan w:val="2"/>
          </w:tcPr>
          <w:p w14:paraId="3EA49F16" w14:textId="22D6A07C" w:rsidR="00D836A8" w:rsidRDefault="00D836A8" w:rsidP="00D836A8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 Действующие нормативные правовые акты, поручения, другие решения, из которых вытекает необходимость правового регулирования:</w:t>
            </w:r>
          </w:p>
        </w:tc>
      </w:tr>
      <w:tr w:rsidR="00D836A8" w14:paraId="0087EA0D" w14:textId="77777777" w:rsidTr="00D836A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638D7D9E" w14:textId="10A150C9" w:rsidR="00560EEC" w:rsidRDefault="004F7EA8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4F7EA8">
              <w:rPr>
                <w:rFonts w:ascii="Times New Roman" w:hAnsi="Times New Roman"/>
                <w:color w:val="auto"/>
                <w:szCs w:val="28"/>
              </w:rPr>
              <w:t xml:space="preserve">- Федеральный закон № 248-ФЗ от 31.07.2020 № 248-ФЗ </w:t>
            </w:r>
            <w:r>
              <w:rPr>
                <w:rFonts w:ascii="Times New Roman" w:hAnsi="Times New Roman"/>
                <w:color w:val="auto"/>
                <w:szCs w:val="28"/>
              </w:rPr>
              <w:t>«</w:t>
            </w:r>
            <w:r w:rsidRPr="004F7EA8">
              <w:rPr>
                <w:rFonts w:ascii="Times New Roman" w:hAnsi="Times New Roman"/>
                <w:color w:val="auto"/>
                <w:szCs w:val="28"/>
              </w:rPr>
              <w:t>О государственном контроле (надзоре) и муниципальном контроле в Российской Федерации</w:t>
            </w:r>
            <w:r>
              <w:rPr>
                <w:rFonts w:ascii="Times New Roman" w:hAnsi="Times New Roman"/>
                <w:color w:val="auto"/>
                <w:szCs w:val="28"/>
              </w:rPr>
              <w:t>»</w:t>
            </w:r>
            <w:r w:rsidRPr="004F7EA8">
              <w:rPr>
                <w:rFonts w:ascii="Times New Roman" w:hAnsi="Times New Roman"/>
                <w:color w:val="auto"/>
                <w:szCs w:val="28"/>
              </w:rPr>
              <w:t>;</w:t>
            </w:r>
          </w:p>
          <w:p w14:paraId="16DD9D59" w14:textId="36EC600B" w:rsidR="004F7EA8" w:rsidRDefault="004F7EA8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4F7EA8">
              <w:rPr>
                <w:rFonts w:ascii="Times New Roman" w:hAnsi="Times New Roman"/>
                <w:color w:val="auto"/>
                <w:szCs w:val="28"/>
              </w:rPr>
              <w:t>- Федеральный закон от 22.11.1995 № 171-ФЗ "О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</w:t>
            </w:r>
            <w:r>
              <w:rPr>
                <w:rFonts w:ascii="Times New Roman" w:hAnsi="Times New Roman"/>
                <w:color w:val="auto"/>
                <w:szCs w:val="28"/>
              </w:rPr>
              <w:t>»</w:t>
            </w:r>
            <w:r w:rsidRPr="004F7EA8">
              <w:rPr>
                <w:rFonts w:ascii="Times New Roman" w:hAnsi="Times New Roman"/>
                <w:color w:val="auto"/>
                <w:szCs w:val="28"/>
              </w:rPr>
              <w:t>;</w:t>
            </w:r>
          </w:p>
          <w:p w14:paraId="27A1AD73" w14:textId="477B411C" w:rsidR="004F7EA8" w:rsidRDefault="004F7EA8" w:rsidP="00764E7E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564B43DB" w14:textId="77777777" w:rsidTr="00D836A8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792A9CF5" w14:textId="77777777" w:rsidR="00D836A8" w:rsidRPr="00D836A8" w:rsidRDefault="00D836A8" w:rsidP="00D836A8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72D45199" w14:textId="77777777" w:rsidR="00D836A8" w:rsidRDefault="00D836A8" w:rsidP="00091BD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11D48705" w14:textId="77777777" w:rsidTr="000201EE">
        <w:tc>
          <w:tcPr>
            <w:tcW w:w="9355" w:type="dxa"/>
            <w:gridSpan w:val="2"/>
          </w:tcPr>
          <w:p w14:paraId="20770A58" w14:textId="77777777" w:rsidR="00D836A8" w:rsidRDefault="00D836A8" w:rsidP="00D836A8">
            <w:pPr>
              <w:pStyle w:val="Standard"/>
              <w:ind w:firstLineChars="295" w:firstLine="708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4. Сроки действия правового регулирования:</w:t>
            </w:r>
          </w:p>
        </w:tc>
      </w:tr>
      <w:tr w:rsidR="00D836A8" w14:paraId="51CD7B16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214C955F" w14:textId="446D4254" w:rsidR="00D836A8" w:rsidRPr="00103324" w:rsidRDefault="00127DD8" w:rsidP="00797EEB">
            <w:pPr>
              <w:pStyle w:val="Standard"/>
              <w:rPr>
                <w:rFonts w:ascii="Times New Roman" w:hAnsi="Times New Roman"/>
                <w:color w:val="FF0000"/>
                <w:szCs w:val="28"/>
              </w:rPr>
            </w:pPr>
            <w:r w:rsidRPr="00103324">
              <w:rPr>
                <w:rFonts w:ascii="Times New Roman" w:hAnsi="Times New Roman"/>
                <w:color w:val="FF0000"/>
                <w:szCs w:val="28"/>
              </w:rPr>
              <w:t>бессрочно</w:t>
            </w:r>
          </w:p>
          <w:p w14:paraId="120B2D17" w14:textId="77777777" w:rsidR="00D836A8" w:rsidRDefault="00D836A8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5AEE739F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52F7C984" w14:textId="77777777" w:rsidR="00D836A8" w:rsidRPr="00D836A8" w:rsidRDefault="00D836A8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06FAB495" w14:textId="77777777" w:rsidR="00D836A8" w:rsidRDefault="00D836A8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368CF353" w14:textId="77777777" w:rsidTr="007C487B">
        <w:tc>
          <w:tcPr>
            <w:tcW w:w="9355" w:type="dxa"/>
            <w:gridSpan w:val="2"/>
          </w:tcPr>
          <w:p w14:paraId="278BBAE0" w14:textId="484D6B51" w:rsidR="00D836A8" w:rsidRDefault="00D836A8" w:rsidP="00AA5781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 Негативные эффекты, возникающие в связи с отсутствием государственного регулирования в соответствующей сфере деятельности:</w:t>
            </w:r>
          </w:p>
        </w:tc>
      </w:tr>
      <w:tr w:rsidR="00BA1CDD" w:rsidRPr="00BA1CDD" w14:paraId="21BCCAE9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64335E7D" w14:textId="5A22FAA0" w:rsidR="00D836A8" w:rsidRPr="00BA1CDD" w:rsidRDefault="00465797" w:rsidP="00BA1CDD">
            <w:pPr>
              <w:pStyle w:val="Standard"/>
              <w:ind w:firstLine="284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Отсутствие государственного регулирования в сфере розничной продажи алкогольной и спиртосодержащей продукции приводит к ряду негативных последствий: росту нелегального оборота спиртных напитков и контрафактной продукции, увеличению случаев отравления суррогатами алкоголя, резкому ухудшению криминогенной обстановки и общественного здоровья населения, особенно в условиях Крайнего Севера, бесконтрольному доступу несовершеннолетних к алкогольной продукции, значительным потерям бюджета из-за неуплаты налогов, формированию нездоровой конкурентной среды между легальными и нелегальными продавцами алкоголя, а также к общему снижению качества жизни населения региона и росту социальных проблем, связанных с алкоголизмом.</w:t>
            </w:r>
          </w:p>
        </w:tc>
      </w:tr>
      <w:tr w:rsidR="00D836A8" w14:paraId="78345E3A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62C11CE4" w14:textId="77777777" w:rsidR="00D836A8" w:rsidRPr="00D836A8" w:rsidRDefault="00D836A8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257E4546" w14:textId="77777777" w:rsidR="00D836A8" w:rsidRDefault="00D836A8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5394EEB3" w14:textId="77777777" w:rsidTr="00240B0A">
        <w:tc>
          <w:tcPr>
            <w:tcW w:w="9355" w:type="dxa"/>
            <w:gridSpan w:val="2"/>
          </w:tcPr>
          <w:p w14:paraId="0C0FC212" w14:textId="77777777" w:rsidR="00D836A8" w:rsidRDefault="00D836A8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 Группа участников отношений правового регулирования и их количественная оценка:</w:t>
            </w:r>
          </w:p>
        </w:tc>
      </w:tr>
      <w:tr w:rsidR="00374CC6" w:rsidRPr="00374CC6" w14:paraId="2EC7F858" w14:textId="77777777" w:rsidTr="00C12751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65AB9214" w14:textId="77777777" w:rsidR="0029555A" w:rsidRPr="00374CC6" w:rsidRDefault="0029555A" w:rsidP="0029555A">
            <w:pPr>
              <w:pStyle w:val="Standard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 w:rsidRPr="00374CC6">
              <w:rPr>
                <w:rFonts w:ascii="Times New Roman" w:hAnsi="Times New Roman"/>
                <w:b/>
                <w:bCs/>
                <w:color w:val="auto"/>
                <w:szCs w:val="28"/>
              </w:rPr>
              <w:t>Органы государственной власти:</w:t>
            </w:r>
          </w:p>
          <w:p w14:paraId="3BA439A3" w14:textId="77777777" w:rsidR="0029555A" w:rsidRPr="00374CC6" w:rsidRDefault="0029555A" w:rsidP="0029555A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374CC6">
              <w:rPr>
                <w:rFonts w:ascii="Times New Roman" w:hAnsi="Times New Roman"/>
                <w:color w:val="auto"/>
                <w:szCs w:val="28"/>
              </w:rPr>
              <w:t>Правительство Чукотского автономного округа</w:t>
            </w:r>
          </w:p>
          <w:p w14:paraId="19CD6664" w14:textId="2E76D3D7" w:rsidR="0029555A" w:rsidRPr="00374CC6" w:rsidRDefault="0029555A" w:rsidP="0029555A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374CC6">
              <w:rPr>
                <w:rFonts w:ascii="Times New Roman" w:hAnsi="Times New Roman"/>
                <w:color w:val="auto"/>
                <w:szCs w:val="28"/>
              </w:rPr>
              <w:t>Департамент финансов и имущественных отношений Чукотского автономного округа</w:t>
            </w:r>
          </w:p>
          <w:p w14:paraId="24A18502" w14:textId="77777777" w:rsidR="0029555A" w:rsidRPr="00374CC6" w:rsidRDefault="0029555A" w:rsidP="0029555A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  <w:p w14:paraId="63785E63" w14:textId="7A68536E" w:rsidR="0029555A" w:rsidRPr="00374CC6" w:rsidRDefault="000262F2" w:rsidP="0029555A">
            <w:pPr>
              <w:pStyle w:val="Standard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 w:rsidRPr="00374CC6">
              <w:rPr>
                <w:rFonts w:ascii="Times New Roman" w:hAnsi="Times New Roman"/>
                <w:b/>
                <w:bCs/>
                <w:color w:val="auto"/>
                <w:szCs w:val="28"/>
              </w:rPr>
              <w:t>Организации и индивидуальные предприниматели, производящие и реализующие алкогольную продукцию</w:t>
            </w:r>
            <w:r w:rsidR="0029555A" w:rsidRPr="00374CC6">
              <w:rPr>
                <w:rFonts w:ascii="Times New Roman" w:hAnsi="Times New Roman"/>
                <w:b/>
                <w:bCs/>
                <w:color w:val="auto"/>
                <w:szCs w:val="28"/>
              </w:rPr>
              <w:t>:</w:t>
            </w:r>
          </w:p>
          <w:p w14:paraId="2D747F76" w14:textId="263B2081" w:rsidR="0029555A" w:rsidRPr="00374CC6" w:rsidRDefault="0029555A" w:rsidP="0029555A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374CC6">
              <w:rPr>
                <w:rFonts w:ascii="Times New Roman" w:hAnsi="Times New Roman"/>
                <w:color w:val="auto"/>
                <w:szCs w:val="28"/>
              </w:rPr>
              <w:t xml:space="preserve">Юридические лица </w:t>
            </w:r>
            <w:r w:rsidR="00DE6CFE" w:rsidRPr="00374CC6">
              <w:rPr>
                <w:rFonts w:ascii="Times New Roman" w:hAnsi="Times New Roman"/>
                <w:color w:val="auto"/>
                <w:szCs w:val="28"/>
              </w:rPr>
              <w:t xml:space="preserve">– 76 единиц </w:t>
            </w:r>
          </w:p>
          <w:p w14:paraId="2CAA84F5" w14:textId="77777777" w:rsidR="0029555A" w:rsidRPr="00374CC6" w:rsidRDefault="0029555A" w:rsidP="0029555A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  <w:p w14:paraId="15AA9C1A" w14:textId="77777777" w:rsidR="000262F2" w:rsidRPr="00374CC6" w:rsidRDefault="000262F2" w:rsidP="000262F2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374CC6">
              <w:rPr>
                <w:rFonts w:ascii="Times New Roman" w:hAnsi="Times New Roman"/>
                <w:b/>
                <w:bCs/>
                <w:color w:val="auto"/>
                <w:szCs w:val="28"/>
              </w:rPr>
              <w:t>Потребители:</w:t>
            </w:r>
            <w:r w:rsidRPr="00374CC6">
              <w:rPr>
                <w:rFonts w:ascii="Times New Roman" w:hAnsi="Times New Roman"/>
                <w:color w:val="auto"/>
                <w:szCs w:val="28"/>
              </w:rPr>
              <w:t xml:space="preserve"> Физические лица.</w:t>
            </w:r>
          </w:p>
          <w:p w14:paraId="6FFAE8B1" w14:textId="22EE9A47" w:rsidR="000262F2" w:rsidRPr="00374CC6" w:rsidRDefault="000262F2" w:rsidP="000262F2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374CC6">
              <w:rPr>
                <w:rFonts w:ascii="Times New Roman" w:hAnsi="Times New Roman"/>
                <w:color w:val="auto"/>
                <w:szCs w:val="28"/>
              </w:rPr>
              <w:t>Численность потребителей определяется общей численностью населения Чукотского автономного округа.</w:t>
            </w:r>
          </w:p>
          <w:p w14:paraId="0DE1E983" w14:textId="0F9D160B" w:rsidR="005116F9" w:rsidRPr="00374CC6" w:rsidRDefault="005116F9" w:rsidP="000262F2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5116F9" w14:paraId="179A3145" w14:textId="77777777" w:rsidTr="00C12751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488F12D2" w14:textId="77777777" w:rsidR="005116F9" w:rsidRPr="00D836A8" w:rsidRDefault="005116F9" w:rsidP="00C12751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33D1EDBD" w14:textId="77777777" w:rsidR="005116F9" w:rsidRDefault="005116F9" w:rsidP="00C12751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D836A8" w14:paraId="195746EA" w14:textId="77777777" w:rsidTr="00B23414">
        <w:tc>
          <w:tcPr>
            <w:tcW w:w="9355" w:type="dxa"/>
            <w:gridSpan w:val="2"/>
          </w:tcPr>
          <w:p w14:paraId="47B5825F" w14:textId="4DDE59FB" w:rsidR="00D836A8" w:rsidRDefault="00D836A8" w:rsidP="00D836A8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7. Оценка расходов (доходов) бюджета, связанных с введением правового регулирования:</w:t>
            </w:r>
          </w:p>
        </w:tc>
      </w:tr>
      <w:tr w:rsidR="00261983" w14:paraId="5E46A3CF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0210DB67" w14:textId="77777777" w:rsidR="009F2FD5" w:rsidRPr="00F52177" w:rsidRDefault="009F2FD5" w:rsidP="009F2FD5">
            <w:pPr>
              <w:pStyle w:val="Standard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 w:rsidRPr="00F52177">
              <w:rPr>
                <w:rFonts w:ascii="Times New Roman" w:hAnsi="Times New Roman"/>
                <w:b/>
                <w:bCs/>
                <w:color w:val="auto"/>
                <w:szCs w:val="28"/>
              </w:rPr>
              <w:t>Расходы бюджета, связанные с введением правового регулирования:</w:t>
            </w:r>
          </w:p>
          <w:p w14:paraId="1FD4BE18" w14:textId="75ADA21E" w:rsidR="00F52177" w:rsidRPr="00F52177" w:rsidRDefault="00F52177" w:rsidP="009F2FD5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F52177">
              <w:rPr>
                <w:rFonts w:ascii="Times New Roman" w:hAnsi="Times New Roman"/>
                <w:b/>
                <w:bCs/>
                <w:color w:val="auto"/>
                <w:szCs w:val="28"/>
              </w:rPr>
              <w:t>4 591 666,5</w:t>
            </w:r>
            <w:r w:rsidRPr="00F52177">
              <w:rPr>
                <w:rFonts w:ascii="Times New Roman" w:hAnsi="Times New Roman"/>
                <w:color w:val="auto"/>
                <w:szCs w:val="28"/>
              </w:rPr>
              <w:t xml:space="preserve"> рублей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(расшифровка представлена в прилагаемых материалах)</w:t>
            </w:r>
          </w:p>
          <w:p w14:paraId="5BBDA66E" w14:textId="77777777" w:rsidR="009F2FD5" w:rsidRPr="0028356B" w:rsidRDefault="009F2FD5" w:rsidP="009F2FD5">
            <w:pPr>
              <w:pStyle w:val="Standard"/>
              <w:rPr>
                <w:rFonts w:ascii="Times New Roman" w:hAnsi="Times New Roman"/>
                <w:color w:val="FF0000"/>
                <w:szCs w:val="28"/>
              </w:rPr>
            </w:pPr>
          </w:p>
          <w:p w14:paraId="4C6AF5CB" w14:textId="77777777" w:rsidR="009F2FD5" w:rsidRPr="0028356B" w:rsidRDefault="009F2FD5" w:rsidP="009F2FD5">
            <w:pPr>
              <w:pStyle w:val="Standard"/>
              <w:rPr>
                <w:rFonts w:ascii="Times New Roman" w:hAnsi="Times New Roman"/>
                <w:color w:val="FF0000"/>
                <w:szCs w:val="28"/>
              </w:rPr>
            </w:pPr>
          </w:p>
          <w:p w14:paraId="3E645426" w14:textId="77777777" w:rsidR="009F2FD5" w:rsidRPr="005E1A40" w:rsidRDefault="009F2FD5" w:rsidP="009F2FD5">
            <w:pPr>
              <w:pStyle w:val="Standard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 w:rsidRPr="005E1A40">
              <w:rPr>
                <w:rFonts w:ascii="Times New Roman" w:hAnsi="Times New Roman"/>
                <w:b/>
                <w:bCs/>
                <w:color w:val="auto"/>
                <w:szCs w:val="28"/>
              </w:rPr>
              <w:t>Доходы бюджета, формирующиеся в результате правового регулирования:</w:t>
            </w:r>
          </w:p>
          <w:p w14:paraId="62DAC0DF" w14:textId="5CFBC219" w:rsidR="002E57FA" w:rsidRPr="002E57FA" w:rsidRDefault="002E57FA" w:rsidP="002E57FA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  <w:highlight w:val="yellow"/>
              </w:rPr>
            </w:pPr>
            <w:r w:rsidRPr="002E57FA">
              <w:rPr>
                <w:rFonts w:ascii="Times New Roman" w:hAnsi="Times New Roman"/>
                <w:color w:val="auto"/>
                <w:szCs w:val="28"/>
              </w:rPr>
              <w:t>Доход бюджета, от осуществления субъектами предпринимательской деятельности розничной продажи алкогольной (спиртосодержащей) продукции и розничной продажи алкогольной продукции при оказании услуг общественного питания в виде государственной пошлины, уплаченной за выдачу и/или продление лицензии, переоформление лицензии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</w:t>
            </w:r>
            <w:r w:rsidR="00DC14A2">
              <w:rPr>
                <w:rFonts w:ascii="Times New Roman" w:hAnsi="Times New Roman"/>
                <w:color w:val="auto"/>
                <w:szCs w:val="28"/>
              </w:rPr>
              <w:t>–</w:t>
            </w:r>
            <w:r>
              <w:rPr>
                <w:rFonts w:ascii="Times New Roman" w:hAnsi="Times New Roman"/>
                <w:color w:val="auto"/>
                <w:szCs w:val="28"/>
              </w:rPr>
              <w:t xml:space="preserve"> </w:t>
            </w:r>
            <w:r w:rsidR="00DC14A2">
              <w:rPr>
                <w:rFonts w:ascii="Times New Roman" w:hAnsi="Times New Roman"/>
                <w:color w:val="auto"/>
                <w:szCs w:val="28"/>
              </w:rPr>
              <w:t xml:space="preserve">в среднем за год </w:t>
            </w:r>
            <w:r w:rsidR="00DC14A2" w:rsidRPr="00DC14A2">
              <w:rPr>
                <w:rFonts w:ascii="Times New Roman" w:hAnsi="Times New Roman"/>
                <w:b/>
                <w:bCs/>
                <w:color w:val="auto"/>
                <w:szCs w:val="28"/>
              </w:rPr>
              <w:t>4 694 000</w:t>
            </w:r>
            <w:r w:rsidR="00DC14A2">
              <w:rPr>
                <w:rFonts w:ascii="Times New Roman" w:hAnsi="Times New Roman"/>
                <w:color w:val="auto"/>
                <w:szCs w:val="28"/>
              </w:rPr>
              <w:t xml:space="preserve"> рублей</w:t>
            </w:r>
          </w:p>
          <w:p w14:paraId="2032F751" w14:textId="77777777" w:rsidR="00261983" w:rsidRDefault="00261983" w:rsidP="00DC14A2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792E6D92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57071DAE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lastRenderedPageBreak/>
              <w:t>место для текстового описания</w:t>
            </w:r>
          </w:p>
          <w:p w14:paraId="470A821D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615122A6" w14:textId="77777777" w:rsidTr="009F0264">
        <w:tc>
          <w:tcPr>
            <w:tcW w:w="9355" w:type="dxa"/>
            <w:gridSpan w:val="2"/>
          </w:tcPr>
          <w:p w14:paraId="052E6E7B" w14:textId="77777777" w:rsidR="00261983" w:rsidRDefault="00261983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8. Обязанности, запреты или ограничения для субъектов предпринимательской и инвестиционной деятельности, порядок организации их исполнения:</w:t>
            </w:r>
          </w:p>
        </w:tc>
      </w:tr>
      <w:tr w:rsidR="00261983" w14:paraId="3B2998CA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43632C12" w14:textId="77777777" w:rsidR="00252285" w:rsidRPr="004A2761" w:rsidRDefault="00252285" w:rsidP="00252285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4A2761">
              <w:rPr>
                <w:rFonts w:ascii="Times New Roman" w:hAnsi="Times New Roman"/>
                <w:b/>
                <w:bCs/>
                <w:color w:val="auto"/>
                <w:szCs w:val="28"/>
              </w:rPr>
              <w:t>Обязанности субъектов предпринимательской деятельности:</w:t>
            </w:r>
          </w:p>
          <w:p w14:paraId="15F6E123" w14:textId="77777777" w:rsidR="00252285" w:rsidRDefault="00252285" w:rsidP="00252285">
            <w:pPr>
              <w:pStyle w:val="Standard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4A2761">
              <w:rPr>
                <w:rFonts w:ascii="Times New Roman" w:hAnsi="Times New Roman"/>
                <w:b/>
                <w:bCs/>
                <w:color w:val="auto"/>
                <w:szCs w:val="28"/>
              </w:rPr>
              <w:t>Соблюдение минимального</w:t>
            </w:r>
            <w:r w:rsidRPr="004A2761">
              <w:rPr>
                <w:rFonts w:ascii="Times New Roman" w:hAnsi="Times New Roman"/>
                <w:color w:val="auto"/>
                <w:szCs w:val="28"/>
              </w:rPr>
              <w:t> размера уставного капитала (1 млн рублей)</w:t>
            </w:r>
          </w:p>
          <w:p w14:paraId="73A90F7C" w14:textId="5D384871" w:rsidR="009368D9" w:rsidRPr="009368D9" w:rsidRDefault="009368D9" w:rsidP="00252285">
            <w:pPr>
              <w:pStyle w:val="Standard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</w:rPr>
              <w:t xml:space="preserve">Получение </w:t>
            </w:r>
            <w:r w:rsidRPr="009368D9">
              <w:rPr>
                <w:rFonts w:ascii="Times New Roman" w:hAnsi="Times New Roman"/>
                <w:b/>
                <w:bCs/>
                <w:color w:val="auto"/>
                <w:szCs w:val="28"/>
              </w:rPr>
              <w:t>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</w:t>
            </w:r>
          </w:p>
          <w:p w14:paraId="2B654505" w14:textId="7D3298EE" w:rsidR="009368D9" w:rsidRPr="009368D9" w:rsidRDefault="009368D9" w:rsidP="009368D9">
            <w:pPr>
              <w:pStyle w:val="a5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sz w:val="24"/>
                <w:szCs w:val="28"/>
                <w:lang w:eastAsia="ru-RU"/>
              </w:rPr>
            </w:pPr>
            <w:r w:rsidRPr="009368D9">
              <w:rPr>
                <w:rFonts w:ascii="Times New Roman" w:eastAsia="SimSun" w:hAnsi="Times New Roman" w:cs="Times New Roman"/>
                <w:sz w:val="24"/>
                <w:szCs w:val="28"/>
                <w:lang w:eastAsia="ru-RU"/>
              </w:rPr>
              <w:t>Обеспечение соответствия сезонных зал</w:t>
            </w:r>
            <w:r>
              <w:rPr>
                <w:rFonts w:ascii="Times New Roman" w:eastAsia="SimSun" w:hAnsi="Times New Roman" w:cs="Times New Roman"/>
                <w:sz w:val="24"/>
                <w:szCs w:val="28"/>
                <w:lang w:eastAsia="ru-RU"/>
              </w:rPr>
              <w:t>ов</w:t>
            </w:r>
            <w:r w:rsidRPr="009368D9">
              <w:rPr>
                <w:rFonts w:ascii="Times New Roman" w:eastAsia="SimSun" w:hAnsi="Times New Roman" w:cs="Times New Roman"/>
                <w:sz w:val="24"/>
                <w:szCs w:val="28"/>
                <w:lang w:eastAsia="ru-RU"/>
              </w:rPr>
              <w:t xml:space="preserve"> (зон) обслуживания посетителей требованиям законодательства</w:t>
            </w:r>
          </w:p>
          <w:p w14:paraId="4B7BAAA0" w14:textId="77777777" w:rsidR="00252285" w:rsidRDefault="00252285" w:rsidP="00252285">
            <w:pPr>
              <w:pStyle w:val="Standard"/>
              <w:jc w:val="both"/>
              <w:rPr>
                <w:rFonts w:ascii="Times New Roman" w:hAnsi="Times New Roman"/>
                <w:b/>
                <w:bCs/>
                <w:color w:val="FF0000"/>
                <w:szCs w:val="28"/>
              </w:rPr>
            </w:pPr>
          </w:p>
          <w:p w14:paraId="3B27B662" w14:textId="02C144DE" w:rsidR="00252285" w:rsidRPr="009368D9" w:rsidRDefault="00252285" w:rsidP="00252285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9368D9">
              <w:rPr>
                <w:rFonts w:ascii="Times New Roman" w:hAnsi="Times New Roman"/>
                <w:b/>
                <w:bCs/>
                <w:color w:val="auto"/>
                <w:szCs w:val="28"/>
              </w:rPr>
              <w:t>Запреты и ограничения:</w:t>
            </w:r>
          </w:p>
          <w:p w14:paraId="194AFCDA" w14:textId="77777777" w:rsidR="00252285" w:rsidRPr="004A2761" w:rsidRDefault="00252285" w:rsidP="00252285">
            <w:pPr>
              <w:pStyle w:val="Standard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4A2761">
              <w:rPr>
                <w:rFonts w:ascii="Times New Roman" w:hAnsi="Times New Roman"/>
                <w:b/>
                <w:bCs/>
                <w:color w:val="auto"/>
                <w:szCs w:val="28"/>
              </w:rPr>
              <w:t>Ограничения по времени</w:t>
            </w:r>
            <w:r w:rsidRPr="004A2761">
              <w:rPr>
                <w:rFonts w:ascii="Times New Roman" w:hAnsi="Times New Roman"/>
                <w:color w:val="auto"/>
                <w:szCs w:val="28"/>
              </w:rPr>
              <w:t> реализации алкогольной продукции</w:t>
            </w:r>
          </w:p>
          <w:p w14:paraId="5EAEA246" w14:textId="7264DE4D" w:rsidR="00252285" w:rsidRPr="009368D9" w:rsidRDefault="00252285" w:rsidP="009368D9">
            <w:pPr>
              <w:pStyle w:val="Standard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4A2761">
              <w:rPr>
                <w:rFonts w:ascii="Times New Roman" w:hAnsi="Times New Roman"/>
                <w:b/>
                <w:bCs/>
                <w:color w:val="auto"/>
                <w:szCs w:val="28"/>
              </w:rPr>
              <w:t>Ограничения по месту</w:t>
            </w:r>
            <w:r w:rsidRPr="004A2761">
              <w:rPr>
                <w:rFonts w:ascii="Times New Roman" w:hAnsi="Times New Roman"/>
                <w:color w:val="auto"/>
                <w:szCs w:val="28"/>
              </w:rPr>
              <w:t> реализации (запрет вблизи образовательных, медицинских и спортивных учреждений</w:t>
            </w:r>
            <w:r w:rsidR="004A2761" w:rsidRPr="004A2761">
              <w:rPr>
                <w:rFonts w:ascii="Times New Roman" w:hAnsi="Times New Roman"/>
                <w:color w:val="auto"/>
                <w:szCs w:val="28"/>
              </w:rPr>
              <w:t>, в отдельных населенных пунктах округа</w:t>
            </w:r>
            <w:r w:rsidRPr="004A2761">
              <w:rPr>
                <w:rFonts w:ascii="Times New Roman" w:hAnsi="Times New Roman"/>
                <w:color w:val="auto"/>
                <w:szCs w:val="28"/>
              </w:rPr>
              <w:t>)</w:t>
            </w:r>
          </w:p>
          <w:p w14:paraId="56622330" w14:textId="77777777" w:rsidR="00252285" w:rsidRDefault="00252285" w:rsidP="00252285">
            <w:pPr>
              <w:pStyle w:val="Standard"/>
              <w:jc w:val="both"/>
              <w:rPr>
                <w:rFonts w:ascii="Times New Roman" w:hAnsi="Times New Roman"/>
                <w:b/>
                <w:bCs/>
                <w:color w:val="FF0000"/>
                <w:szCs w:val="28"/>
              </w:rPr>
            </w:pPr>
          </w:p>
          <w:p w14:paraId="6C945322" w14:textId="624D9BE2" w:rsidR="00252285" w:rsidRPr="00AA5530" w:rsidRDefault="00252285" w:rsidP="00252285">
            <w:pPr>
              <w:pStyle w:val="Standard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AA5530">
              <w:rPr>
                <w:rFonts w:ascii="Times New Roman" w:hAnsi="Times New Roman"/>
                <w:b/>
                <w:bCs/>
                <w:color w:val="auto"/>
                <w:szCs w:val="28"/>
              </w:rPr>
              <w:t>Порядок организации исполнения:</w:t>
            </w:r>
          </w:p>
          <w:p w14:paraId="11463B49" w14:textId="77777777" w:rsidR="00252285" w:rsidRPr="00AA5530" w:rsidRDefault="00252285" w:rsidP="00252285">
            <w:pPr>
              <w:pStyle w:val="Standard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AA5530">
              <w:rPr>
                <w:rFonts w:ascii="Times New Roman" w:hAnsi="Times New Roman"/>
                <w:b/>
                <w:bCs/>
                <w:color w:val="auto"/>
                <w:szCs w:val="28"/>
              </w:rPr>
              <w:t>Лицензионный контроль</w:t>
            </w:r>
            <w:r w:rsidRPr="00AA5530">
              <w:rPr>
                <w:rFonts w:ascii="Times New Roman" w:hAnsi="Times New Roman"/>
                <w:color w:val="auto"/>
                <w:szCs w:val="28"/>
              </w:rPr>
              <w:t> осуществляется уполномоченными органами</w:t>
            </w:r>
          </w:p>
          <w:p w14:paraId="4E5D23C7" w14:textId="77777777" w:rsidR="00252285" w:rsidRPr="00AA5530" w:rsidRDefault="00252285" w:rsidP="00252285">
            <w:pPr>
              <w:pStyle w:val="Standard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AA5530">
              <w:rPr>
                <w:rFonts w:ascii="Times New Roman" w:hAnsi="Times New Roman"/>
                <w:b/>
                <w:bCs/>
                <w:color w:val="auto"/>
                <w:szCs w:val="28"/>
              </w:rPr>
              <w:t>Плановые проверки</w:t>
            </w:r>
            <w:r w:rsidRPr="00AA5530">
              <w:rPr>
                <w:rFonts w:ascii="Times New Roman" w:hAnsi="Times New Roman"/>
                <w:color w:val="auto"/>
                <w:szCs w:val="28"/>
              </w:rPr>
              <w:t> проводятся согласно установленному графику</w:t>
            </w:r>
          </w:p>
          <w:p w14:paraId="66327556" w14:textId="77777777" w:rsidR="00252285" w:rsidRPr="00AA5530" w:rsidRDefault="00252285" w:rsidP="00252285">
            <w:pPr>
              <w:pStyle w:val="Standard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AA5530">
              <w:rPr>
                <w:rFonts w:ascii="Times New Roman" w:hAnsi="Times New Roman"/>
                <w:b/>
                <w:bCs/>
                <w:color w:val="auto"/>
                <w:szCs w:val="28"/>
              </w:rPr>
              <w:t>Внеплановые проверки</w:t>
            </w:r>
            <w:r w:rsidRPr="00AA5530">
              <w:rPr>
                <w:rFonts w:ascii="Times New Roman" w:hAnsi="Times New Roman"/>
                <w:color w:val="auto"/>
                <w:szCs w:val="28"/>
              </w:rPr>
              <w:t> осуществляются при наличии оснований</w:t>
            </w:r>
          </w:p>
          <w:p w14:paraId="38CC6199" w14:textId="77777777" w:rsidR="00252285" w:rsidRPr="00AA5530" w:rsidRDefault="00252285" w:rsidP="00252285">
            <w:pPr>
              <w:pStyle w:val="Standard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AA5530">
              <w:rPr>
                <w:rFonts w:ascii="Times New Roman" w:hAnsi="Times New Roman"/>
                <w:b/>
                <w:bCs/>
                <w:color w:val="auto"/>
                <w:szCs w:val="28"/>
              </w:rPr>
              <w:t>Мониторинг соблюдения</w:t>
            </w:r>
            <w:r w:rsidRPr="00AA5530">
              <w:rPr>
                <w:rFonts w:ascii="Times New Roman" w:hAnsi="Times New Roman"/>
                <w:color w:val="auto"/>
                <w:szCs w:val="28"/>
              </w:rPr>
              <w:t> требований осуществляется через систему учета алкогольной продукции</w:t>
            </w:r>
          </w:p>
          <w:p w14:paraId="13C90001" w14:textId="77777777" w:rsidR="00252285" w:rsidRPr="00AA5530" w:rsidRDefault="00252285" w:rsidP="00252285">
            <w:pPr>
              <w:pStyle w:val="Standard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AA5530">
              <w:rPr>
                <w:rFonts w:ascii="Times New Roman" w:hAnsi="Times New Roman"/>
                <w:b/>
                <w:bCs/>
                <w:color w:val="auto"/>
                <w:szCs w:val="28"/>
              </w:rPr>
              <w:t>Административная ответственность</w:t>
            </w:r>
            <w:r w:rsidRPr="00AA5530">
              <w:rPr>
                <w:rFonts w:ascii="Times New Roman" w:hAnsi="Times New Roman"/>
                <w:color w:val="auto"/>
                <w:szCs w:val="28"/>
              </w:rPr>
              <w:t> наступает за нарушение установленных требований</w:t>
            </w:r>
          </w:p>
          <w:p w14:paraId="3F6FB2C2" w14:textId="476B14EC" w:rsidR="00261983" w:rsidRPr="00CD4BB4" w:rsidRDefault="00252285" w:rsidP="00797EEB">
            <w:pPr>
              <w:pStyle w:val="Standard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AA5530">
              <w:rPr>
                <w:rFonts w:ascii="Times New Roman" w:hAnsi="Times New Roman"/>
                <w:b/>
                <w:bCs/>
                <w:color w:val="auto"/>
                <w:szCs w:val="28"/>
              </w:rPr>
              <w:t>Приостановление деятельности</w:t>
            </w:r>
            <w:r w:rsidRPr="00AA5530">
              <w:rPr>
                <w:rFonts w:ascii="Times New Roman" w:hAnsi="Times New Roman"/>
                <w:color w:val="auto"/>
                <w:szCs w:val="28"/>
              </w:rPr>
              <w:t> возможно при грубых нарушениях законодательства</w:t>
            </w:r>
          </w:p>
        </w:tc>
      </w:tr>
      <w:tr w:rsidR="00261983" w14:paraId="011B1326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45D75A4B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71AFD213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34A2B11B" w14:textId="77777777" w:rsidTr="00C72D4E">
        <w:tc>
          <w:tcPr>
            <w:tcW w:w="9355" w:type="dxa"/>
            <w:gridSpan w:val="2"/>
          </w:tcPr>
          <w:p w14:paraId="06BA502E" w14:textId="77777777" w:rsidR="00261983" w:rsidRDefault="00261983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 Оценка расходов субъектов предпринимательской и инвестиционной деятельности, связанных с необходимостью соблюдения установленных обязанностей, запретов или ограничений:</w:t>
            </w:r>
          </w:p>
        </w:tc>
      </w:tr>
      <w:tr w:rsidR="00261983" w14:paraId="7801CAD8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4297D797" w14:textId="77777777" w:rsidR="00D10B18" w:rsidRPr="00BA1CDD" w:rsidRDefault="00D10B18" w:rsidP="00D10B1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Первоначальные затраты:</w:t>
            </w:r>
          </w:p>
          <w:p w14:paraId="5636940C" w14:textId="77777777" w:rsidR="00D10B18" w:rsidRPr="00BA1CDD" w:rsidRDefault="00D10B18" w:rsidP="00D10B18">
            <w:pPr>
              <w:pStyle w:val="Standard"/>
              <w:numPr>
                <w:ilvl w:val="0"/>
                <w:numId w:val="12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Уставный капитал — не менее 1 000 000 рублей</w:t>
            </w:r>
          </w:p>
          <w:p w14:paraId="06DA622F" w14:textId="77777777" w:rsidR="00D10B18" w:rsidRPr="00BA1CDD" w:rsidRDefault="00D10B18" w:rsidP="00D10B18">
            <w:pPr>
              <w:pStyle w:val="Standard"/>
              <w:numPr>
                <w:ilvl w:val="0"/>
                <w:numId w:val="12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Лицензирование:</w:t>
            </w:r>
          </w:p>
          <w:p w14:paraId="02F5660B" w14:textId="77777777" w:rsidR="00D10B18" w:rsidRPr="00BA1CDD" w:rsidRDefault="00D10B18" w:rsidP="00D10B18">
            <w:pPr>
              <w:pStyle w:val="Standard"/>
              <w:numPr>
                <w:ilvl w:val="1"/>
                <w:numId w:val="12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Госпошлина за получение лицензии — 65 000 рублей за год действия</w:t>
            </w:r>
          </w:p>
          <w:p w14:paraId="1B58539E" w14:textId="77777777" w:rsidR="00D10B18" w:rsidRPr="00BA1CDD" w:rsidRDefault="00D10B18" w:rsidP="00D10B18">
            <w:pPr>
              <w:pStyle w:val="Standard"/>
              <w:numPr>
                <w:ilvl w:val="1"/>
                <w:numId w:val="12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Срок действия лицензии — до 5 лет</w:t>
            </w:r>
          </w:p>
          <w:p w14:paraId="268CA0E8" w14:textId="77777777" w:rsidR="00D10B18" w:rsidRPr="00BA1CDD" w:rsidRDefault="00D10B18" w:rsidP="00D10B18">
            <w:pPr>
              <w:pStyle w:val="Standard"/>
              <w:numPr>
                <w:ilvl w:val="1"/>
                <w:numId w:val="12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Общая стоимость лицензирования на максимальный срок — 325 000 рублей</w:t>
            </w:r>
          </w:p>
          <w:p w14:paraId="7C0599DA" w14:textId="77777777" w:rsidR="00D10B18" w:rsidRPr="00BA1CDD" w:rsidRDefault="00D10B18" w:rsidP="00D10B1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Ежегодные операционные расходы:</w:t>
            </w:r>
          </w:p>
          <w:p w14:paraId="7DEC3B86" w14:textId="77777777" w:rsidR="00D10B18" w:rsidRPr="00BA1CDD" w:rsidRDefault="00D10B18" w:rsidP="00D10B18">
            <w:pPr>
              <w:pStyle w:val="Standard"/>
              <w:numPr>
                <w:ilvl w:val="0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Техническое оснащение:</w:t>
            </w:r>
          </w:p>
          <w:p w14:paraId="6AB48348" w14:textId="77777777" w:rsidR="00D10B18" w:rsidRPr="00BA1CDD" w:rsidRDefault="00D10B18" w:rsidP="00D10B18">
            <w:pPr>
              <w:pStyle w:val="Standard"/>
              <w:numPr>
                <w:ilvl w:val="1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Система ЕГАИС — от 30 000 рублей</w:t>
            </w:r>
          </w:p>
          <w:p w14:paraId="2A1D47E2" w14:textId="77777777" w:rsidR="00D10B18" w:rsidRPr="00BA1CDD" w:rsidRDefault="00D10B18" w:rsidP="00D10B18">
            <w:pPr>
              <w:pStyle w:val="Standard"/>
              <w:numPr>
                <w:ilvl w:val="1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t>Квалифицированная электронная подпись — от 2 000 рублей</w:t>
            </w:r>
          </w:p>
          <w:p w14:paraId="405B8411" w14:textId="77777777" w:rsidR="00D10B18" w:rsidRPr="00BA1CDD" w:rsidRDefault="00D10B18" w:rsidP="00D10B18">
            <w:pPr>
              <w:pStyle w:val="Standard"/>
              <w:numPr>
                <w:ilvl w:val="1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BA1CDD">
              <w:rPr>
                <w:rFonts w:ascii="Times New Roman" w:hAnsi="Times New Roman"/>
                <w:color w:val="auto"/>
                <w:szCs w:val="28"/>
              </w:rPr>
              <w:lastRenderedPageBreak/>
              <w:t>Специальное оборудование для учета продукции — от 50 000 рублей</w:t>
            </w:r>
          </w:p>
          <w:p w14:paraId="11E64749" w14:textId="77777777" w:rsidR="00D10B18" w:rsidRPr="00F41D90" w:rsidRDefault="00D10B18" w:rsidP="00D10B18">
            <w:pPr>
              <w:pStyle w:val="Standard"/>
              <w:numPr>
                <w:ilvl w:val="0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>Аренда и содержание помещения:</w:t>
            </w:r>
          </w:p>
          <w:p w14:paraId="4A497D75" w14:textId="77777777" w:rsidR="00D10B18" w:rsidRPr="00F41D90" w:rsidRDefault="00D10B18" w:rsidP="00D10B18">
            <w:pPr>
              <w:pStyle w:val="Standard"/>
              <w:numPr>
                <w:ilvl w:val="1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>Минимальные требования к площади:</w:t>
            </w:r>
          </w:p>
          <w:p w14:paraId="005EC55A" w14:textId="77777777" w:rsidR="00D10B18" w:rsidRPr="00F41D90" w:rsidRDefault="00D10B18" w:rsidP="00D10B18">
            <w:pPr>
              <w:pStyle w:val="Standard"/>
              <w:numPr>
                <w:ilvl w:val="2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 xml:space="preserve">Городские территории — от 50 </w:t>
            </w:r>
            <w:proofErr w:type="spellStart"/>
            <w:proofErr w:type="gramStart"/>
            <w:r w:rsidRPr="00F41D90">
              <w:rPr>
                <w:rFonts w:ascii="Times New Roman" w:hAnsi="Times New Roman"/>
                <w:color w:val="auto"/>
                <w:szCs w:val="28"/>
              </w:rPr>
              <w:t>кв.м</w:t>
            </w:r>
            <w:proofErr w:type="spellEnd"/>
            <w:proofErr w:type="gramEnd"/>
          </w:p>
          <w:p w14:paraId="4EC5CAFC" w14:textId="77777777" w:rsidR="00D10B18" w:rsidRPr="00F41D90" w:rsidRDefault="00D10B18" w:rsidP="00D10B18">
            <w:pPr>
              <w:pStyle w:val="Standard"/>
              <w:numPr>
                <w:ilvl w:val="2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 xml:space="preserve">Сельская местность — от 25 </w:t>
            </w:r>
            <w:proofErr w:type="spellStart"/>
            <w:proofErr w:type="gramStart"/>
            <w:r w:rsidRPr="00F41D90">
              <w:rPr>
                <w:rFonts w:ascii="Times New Roman" w:hAnsi="Times New Roman"/>
                <w:color w:val="auto"/>
                <w:szCs w:val="28"/>
              </w:rPr>
              <w:t>кв.м</w:t>
            </w:r>
            <w:proofErr w:type="spellEnd"/>
            <w:proofErr w:type="gramEnd"/>
          </w:p>
          <w:p w14:paraId="150915B8" w14:textId="77777777" w:rsidR="00D10B18" w:rsidRPr="00F41D90" w:rsidRDefault="00D10B18" w:rsidP="00D10B18">
            <w:pPr>
              <w:pStyle w:val="Standard"/>
              <w:numPr>
                <w:ilvl w:val="1"/>
                <w:numId w:val="13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>Коммунальные платежи и обслуживание</w:t>
            </w:r>
          </w:p>
          <w:p w14:paraId="6A3280B2" w14:textId="77777777" w:rsidR="00D10B18" w:rsidRPr="00F41D90" w:rsidRDefault="00D10B18" w:rsidP="00D10B18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>Итоговые годовые расходы (приблизительные расчеты):</w:t>
            </w:r>
          </w:p>
          <w:p w14:paraId="2E8024DA" w14:textId="5BEF04F6" w:rsidR="00D10B18" w:rsidRPr="00F41D90" w:rsidRDefault="00D10B18" w:rsidP="00D10B18">
            <w:pPr>
              <w:pStyle w:val="Standard"/>
              <w:numPr>
                <w:ilvl w:val="0"/>
                <w:numId w:val="15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 xml:space="preserve">Первоначальные инвестиции — от 1 </w:t>
            </w:r>
            <w:r w:rsidR="00F45831">
              <w:rPr>
                <w:rFonts w:ascii="Times New Roman" w:hAnsi="Times New Roman"/>
                <w:color w:val="auto"/>
                <w:szCs w:val="28"/>
              </w:rPr>
              <w:t>325</w:t>
            </w:r>
            <w:r w:rsidRPr="00F41D90">
              <w:rPr>
                <w:rFonts w:ascii="Times New Roman" w:hAnsi="Times New Roman"/>
                <w:color w:val="auto"/>
                <w:szCs w:val="28"/>
              </w:rPr>
              <w:t xml:space="preserve"> 000 рублей</w:t>
            </w:r>
          </w:p>
          <w:p w14:paraId="0512972A" w14:textId="77777777" w:rsidR="00D10B18" w:rsidRPr="00F41D90" w:rsidRDefault="00D10B18" w:rsidP="00D10B18">
            <w:pPr>
              <w:pStyle w:val="Standard"/>
              <w:numPr>
                <w:ilvl w:val="0"/>
                <w:numId w:val="15"/>
              </w:numPr>
              <w:rPr>
                <w:rFonts w:ascii="Times New Roman" w:hAnsi="Times New Roman"/>
                <w:color w:val="auto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>Ежегодные операционные расходы — от 137 000 рублей</w:t>
            </w:r>
          </w:p>
          <w:p w14:paraId="6FFA7FB2" w14:textId="3214488D" w:rsidR="00261983" w:rsidRPr="00D10B18" w:rsidRDefault="00D10B18" w:rsidP="00D10B18">
            <w:pPr>
              <w:pStyle w:val="Standard"/>
              <w:numPr>
                <w:ilvl w:val="0"/>
                <w:numId w:val="15"/>
              </w:numPr>
              <w:rPr>
                <w:rFonts w:ascii="Times New Roman" w:hAnsi="Times New Roman"/>
                <w:b/>
                <w:bCs/>
                <w:color w:val="FF0000"/>
                <w:szCs w:val="28"/>
              </w:rPr>
            </w:pPr>
            <w:r w:rsidRPr="00F41D90">
              <w:rPr>
                <w:rFonts w:ascii="Times New Roman" w:hAnsi="Times New Roman"/>
                <w:color w:val="auto"/>
                <w:szCs w:val="28"/>
              </w:rPr>
              <w:t xml:space="preserve">Общие затраты за 5 лет (с учетом лицензирования) — от </w:t>
            </w:r>
            <w:r w:rsidR="00F45831">
              <w:rPr>
                <w:rFonts w:ascii="Times New Roman" w:hAnsi="Times New Roman"/>
                <w:color w:val="auto"/>
                <w:szCs w:val="28"/>
              </w:rPr>
              <w:t>1 462</w:t>
            </w:r>
            <w:r w:rsidRPr="00F41D90">
              <w:rPr>
                <w:rFonts w:ascii="Times New Roman" w:hAnsi="Times New Roman"/>
                <w:color w:val="auto"/>
                <w:szCs w:val="28"/>
              </w:rPr>
              <w:t xml:space="preserve"> 000 рублей</w:t>
            </w:r>
          </w:p>
        </w:tc>
      </w:tr>
      <w:tr w:rsidR="00261983" w14:paraId="779F9D4B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77CFB1FB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lastRenderedPageBreak/>
              <w:t>место для текстового описания</w:t>
            </w:r>
          </w:p>
          <w:p w14:paraId="75EBF193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716684D5" w14:textId="77777777" w:rsidTr="005F597B">
        <w:tc>
          <w:tcPr>
            <w:tcW w:w="9355" w:type="dxa"/>
            <w:gridSpan w:val="2"/>
          </w:tcPr>
          <w:p w14:paraId="4162410E" w14:textId="77777777" w:rsidR="00261983" w:rsidRDefault="00261983" w:rsidP="00261983">
            <w:pPr>
              <w:pStyle w:val="Standard"/>
              <w:ind w:firstLineChars="295" w:firstLine="708"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10. Иные сведения, которые, по мнению органа, осуществляющего экспертизу, позволяют оценить эффективность действующего регулирования:</w:t>
            </w:r>
          </w:p>
        </w:tc>
      </w:tr>
      <w:tr w:rsidR="00261983" w14:paraId="01DD94F7" w14:textId="77777777" w:rsidTr="00797EEB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0502DBEA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  <w:p w14:paraId="59BB4F49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261983" w14:paraId="1B2B5546" w14:textId="77777777" w:rsidTr="00797EEB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2CA87B5C" w14:textId="77777777" w:rsidR="00261983" w:rsidRPr="00D836A8" w:rsidRDefault="00261983" w:rsidP="00797EEB">
            <w:pPr>
              <w:pStyle w:val="Standard"/>
              <w:ind w:firstLineChars="125" w:firstLine="300"/>
              <w:jc w:val="center"/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</w:pPr>
            <w:r w:rsidRPr="00D836A8">
              <w:rPr>
                <w:rFonts w:ascii="Times New Roman" w:hAnsi="Times New Roman"/>
                <w:iCs/>
                <w:color w:val="A6A6A6" w:themeColor="background1" w:themeShade="A6"/>
                <w:szCs w:val="28"/>
              </w:rPr>
              <w:t>место для текстового описания</w:t>
            </w:r>
          </w:p>
          <w:p w14:paraId="569131AB" w14:textId="77777777" w:rsidR="00261983" w:rsidRDefault="00261983" w:rsidP="00797EEB">
            <w:pPr>
              <w:pStyle w:val="Standard"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14:paraId="73E411E4" w14:textId="77777777" w:rsidR="00D836A8" w:rsidRDefault="00D836A8" w:rsidP="00091BD8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</w:p>
    <w:p w14:paraId="077090D5" w14:textId="77777777" w:rsidR="00091BD8" w:rsidRPr="005844F5" w:rsidRDefault="00091BD8" w:rsidP="00091BD8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 уведомлению прилагаются:</w:t>
      </w:r>
    </w:p>
    <w:p w14:paraId="0470EC16" w14:textId="77777777" w:rsidR="00091BD8" w:rsidRPr="005844F5" w:rsidRDefault="00091BD8" w:rsidP="00091BD8">
      <w:pPr>
        <w:pStyle w:val="Standard"/>
        <w:numPr>
          <w:ilvl w:val="0"/>
          <w:numId w:val="1"/>
        </w:numPr>
        <w:ind w:firstLineChars="20" w:firstLine="4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Электронная версия текста нормативного правового акта округа в редакции, действующей на момент размещения уведомления об экспертизе, и срок окончания публичных консультаций в отношении нормативного правового акта округа;</w:t>
      </w:r>
    </w:p>
    <w:p w14:paraId="7B1DBE03" w14:textId="77777777" w:rsidR="00091BD8" w:rsidRDefault="00091BD8" w:rsidP="009258AC">
      <w:pPr>
        <w:pStyle w:val="Standard"/>
        <w:numPr>
          <w:ilvl w:val="0"/>
          <w:numId w:val="1"/>
        </w:numPr>
        <w:ind w:firstLineChars="20" w:firstLine="4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Перечень вопросов для участников публичных консультаций;</w:t>
      </w:r>
    </w:p>
    <w:p w14:paraId="49057712" w14:textId="4C27ED47" w:rsidR="002858EC" w:rsidRPr="005844F5" w:rsidRDefault="002858EC" w:rsidP="009258AC">
      <w:pPr>
        <w:pStyle w:val="Standard"/>
        <w:numPr>
          <w:ilvl w:val="0"/>
          <w:numId w:val="1"/>
        </w:numPr>
        <w:ind w:firstLineChars="20" w:firstLine="48"/>
        <w:jc w:val="both"/>
        <w:rPr>
          <w:rFonts w:ascii="Times New Roman" w:hAnsi="Times New Roman"/>
          <w:color w:val="auto"/>
          <w:szCs w:val="28"/>
        </w:rPr>
      </w:pPr>
      <w:r w:rsidRPr="002858EC">
        <w:rPr>
          <w:rFonts w:ascii="Times New Roman" w:hAnsi="Times New Roman"/>
          <w:color w:val="auto"/>
          <w:szCs w:val="28"/>
        </w:rPr>
        <w:t>Материалы, представленные Департаментом финансов и имущественных отношений Чукотского автономного округа.</w:t>
      </w:r>
    </w:p>
    <w:p w14:paraId="4F766660" w14:textId="77777777" w:rsidR="00091BD8" w:rsidRPr="005844F5" w:rsidRDefault="00091BD8" w:rsidP="00091BD8">
      <w:pPr>
        <w:pStyle w:val="Standard"/>
        <w:ind w:firstLineChars="295" w:firstLine="826"/>
        <w:jc w:val="both"/>
        <w:rPr>
          <w:rFonts w:ascii="Times New Roman" w:hAnsi="Times New Roman"/>
          <w:color w:val="auto"/>
          <w:sz w:val="28"/>
          <w:szCs w:val="28"/>
        </w:rPr>
      </w:pPr>
    </w:p>
    <w:sectPr w:rsidR="00091BD8" w:rsidRPr="0058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A4775"/>
    <w:multiLevelType w:val="multilevel"/>
    <w:tmpl w:val="106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B683E"/>
    <w:multiLevelType w:val="hybridMultilevel"/>
    <w:tmpl w:val="2B442882"/>
    <w:lvl w:ilvl="0" w:tplc="4050A5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82480"/>
    <w:multiLevelType w:val="multilevel"/>
    <w:tmpl w:val="E3A0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6814"/>
    <w:multiLevelType w:val="multilevel"/>
    <w:tmpl w:val="0C9E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B686C"/>
    <w:multiLevelType w:val="hybridMultilevel"/>
    <w:tmpl w:val="B64630DA"/>
    <w:lvl w:ilvl="0" w:tplc="0419000F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41ED52C3"/>
    <w:multiLevelType w:val="multilevel"/>
    <w:tmpl w:val="70F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F5A94"/>
    <w:multiLevelType w:val="hybridMultilevel"/>
    <w:tmpl w:val="0EB20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635AE"/>
    <w:multiLevelType w:val="hybridMultilevel"/>
    <w:tmpl w:val="4B10F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16AF9"/>
    <w:multiLevelType w:val="hybridMultilevel"/>
    <w:tmpl w:val="46884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E09A4"/>
    <w:multiLevelType w:val="multilevel"/>
    <w:tmpl w:val="20AC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7159D"/>
    <w:multiLevelType w:val="hybridMultilevel"/>
    <w:tmpl w:val="A592793A"/>
    <w:lvl w:ilvl="0" w:tplc="0419000F">
      <w:start w:val="1"/>
      <w:numFmt w:val="decimal"/>
      <w:lvlText w:val="%1."/>
      <w:lvlJc w:val="left"/>
      <w:pPr>
        <w:ind w:left="1747" w:hanging="360"/>
      </w:p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1" w15:restartNumberingAfterBreak="0">
    <w:nsid w:val="60C93BEC"/>
    <w:multiLevelType w:val="hybridMultilevel"/>
    <w:tmpl w:val="FC1C78E6"/>
    <w:lvl w:ilvl="0" w:tplc="F1B07F1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7A1D1043"/>
    <w:multiLevelType w:val="multilevel"/>
    <w:tmpl w:val="0586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7C5D4285"/>
    <w:multiLevelType w:val="multilevel"/>
    <w:tmpl w:val="66C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814CD"/>
    <w:multiLevelType w:val="multilevel"/>
    <w:tmpl w:val="446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733326">
    <w:abstractNumId w:val="11"/>
  </w:num>
  <w:num w:numId="2" w16cid:durableId="1948463214">
    <w:abstractNumId w:val="7"/>
  </w:num>
  <w:num w:numId="3" w16cid:durableId="2062248329">
    <w:abstractNumId w:val="6"/>
  </w:num>
  <w:num w:numId="4" w16cid:durableId="1836992144">
    <w:abstractNumId w:val="4"/>
  </w:num>
  <w:num w:numId="5" w16cid:durableId="2083526405">
    <w:abstractNumId w:val="10"/>
  </w:num>
  <w:num w:numId="6" w16cid:durableId="1697539594">
    <w:abstractNumId w:val="8"/>
  </w:num>
  <w:num w:numId="7" w16cid:durableId="1209220263">
    <w:abstractNumId w:val="1"/>
  </w:num>
  <w:num w:numId="8" w16cid:durableId="1369185822">
    <w:abstractNumId w:val="12"/>
  </w:num>
  <w:num w:numId="9" w16cid:durableId="462776851">
    <w:abstractNumId w:val="9"/>
  </w:num>
  <w:num w:numId="10" w16cid:durableId="833571825">
    <w:abstractNumId w:val="3"/>
  </w:num>
  <w:num w:numId="11" w16cid:durableId="355083604">
    <w:abstractNumId w:val="2"/>
  </w:num>
  <w:num w:numId="12" w16cid:durableId="870993435">
    <w:abstractNumId w:val="5"/>
  </w:num>
  <w:num w:numId="13" w16cid:durableId="1907372982">
    <w:abstractNumId w:val="0"/>
  </w:num>
  <w:num w:numId="14" w16cid:durableId="846211948">
    <w:abstractNumId w:val="13"/>
  </w:num>
  <w:num w:numId="15" w16cid:durableId="1981230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05"/>
    <w:rsid w:val="00013751"/>
    <w:rsid w:val="000262F2"/>
    <w:rsid w:val="00046EA6"/>
    <w:rsid w:val="00052618"/>
    <w:rsid w:val="000852A9"/>
    <w:rsid w:val="00091BD8"/>
    <w:rsid w:val="00093E22"/>
    <w:rsid w:val="000B7364"/>
    <w:rsid w:val="00103324"/>
    <w:rsid w:val="00127DD8"/>
    <w:rsid w:val="00151E97"/>
    <w:rsid w:val="001C79E2"/>
    <w:rsid w:val="001D18FF"/>
    <w:rsid w:val="00217A70"/>
    <w:rsid w:val="00226FDA"/>
    <w:rsid w:val="00244A0D"/>
    <w:rsid w:val="00245061"/>
    <w:rsid w:val="00252285"/>
    <w:rsid w:val="00261983"/>
    <w:rsid w:val="0028356B"/>
    <w:rsid w:val="002858EC"/>
    <w:rsid w:val="0029555A"/>
    <w:rsid w:val="002E57FA"/>
    <w:rsid w:val="00344E91"/>
    <w:rsid w:val="00374CC6"/>
    <w:rsid w:val="003B2C11"/>
    <w:rsid w:val="004113A0"/>
    <w:rsid w:val="00446BA0"/>
    <w:rsid w:val="00465797"/>
    <w:rsid w:val="004A2761"/>
    <w:rsid w:val="004B2050"/>
    <w:rsid w:val="004D7A7F"/>
    <w:rsid w:val="004F7EA8"/>
    <w:rsid w:val="00504743"/>
    <w:rsid w:val="005116F9"/>
    <w:rsid w:val="00512A85"/>
    <w:rsid w:val="00521ECE"/>
    <w:rsid w:val="00560EEC"/>
    <w:rsid w:val="005C0C1C"/>
    <w:rsid w:val="005D7E42"/>
    <w:rsid w:val="005E1A40"/>
    <w:rsid w:val="005F3305"/>
    <w:rsid w:val="006055A1"/>
    <w:rsid w:val="00623431"/>
    <w:rsid w:val="00635082"/>
    <w:rsid w:val="006E3248"/>
    <w:rsid w:val="00702BA9"/>
    <w:rsid w:val="007174CC"/>
    <w:rsid w:val="00764E7E"/>
    <w:rsid w:val="007A77E8"/>
    <w:rsid w:val="007C48B1"/>
    <w:rsid w:val="007C7EAD"/>
    <w:rsid w:val="008313BC"/>
    <w:rsid w:val="00871258"/>
    <w:rsid w:val="008C4EC0"/>
    <w:rsid w:val="009258AC"/>
    <w:rsid w:val="009368D9"/>
    <w:rsid w:val="009C6DDC"/>
    <w:rsid w:val="009F2FD5"/>
    <w:rsid w:val="00A515F1"/>
    <w:rsid w:val="00A92760"/>
    <w:rsid w:val="00AA5530"/>
    <w:rsid w:val="00AA5781"/>
    <w:rsid w:val="00B90588"/>
    <w:rsid w:val="00BA1CDD"/>
    <w:rsid w:val="00BB5A65"/>
    <w:rsid w:val="00C073D2"/>
    <w:rsid w:val="00C073FC"/>
    <w:rsid w:val="00C22554"/>
    <w:rsid w:val="00C42475"/>
    <w:rsid w:val="00CD4BB4"/>
    <w:rsid w:val="00D10618"/>
    <w:rsid w:val="00D10B18"/>
    <w:rsid w:val="00D35A74"/>
    <w:rsid w:val="00D4281E"/>
    <w:rsid w:val="00D836A8"/>
    <w:rsid w:val="00D8379F"/>
    <w:rsid w:val="00DC14A2"/>
    <w:rsid w:val="00DD75AF"/>
    <w:rsid w:val="00DE6CFE"/>
    <w:rsid w:val="00E91138"/>
    <w:rsid w:val="00E973DB"/>
    <w:rsid w:val="00F41D90"/>
    <w:rsid w:val="00F45831"/>
    <w:rsid w:val="00F52177"/>
    <w:rsid w:val="00F87A81"/>
    <w:rsid w:val="00FC02D0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85EB"/>
  <w15:chartTrackingRefBased/>
  <w15:docId w15:val="{42BBFA05-DD26-484E-AFCC-2A63C21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1BD8"/>
    <w:pPr>
      <w:spacing w:after="0" w:line="240" w:lineRule="auto"/>
    </w:pPr>
    <w:rPr>
      <w:rFonts w:ascii="Liberation Serif" w:eastAsia="SimSun" w:hAnsi="Liberation Serif" w:cs="Times New Roman"/>
      <w:color w:val="00000A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226FD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8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3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kaftaikina@invest.chukotka-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Хаджаев Андрей Николаевич</dc:creator>
  <cp:keywords/>
  <dc:description/>
  <cp:lastModifiedBy>Скрябикова Алена Николаевна</cp:lastModifiedBy>
  <cp:revision>99</cp:revision>
  <dcterms:created xsi:type="dcterms:W3CDTF">2025-09-23T05:10:00Z</dcterms:created>
  <dcterms:modified xsi:type="dcterms:W3CDTF">2025-10-01T03:06:00Z</dcterms:modified>
</cp:coreProperties>
</file>