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line="360"/>
        <w:jc w:val="center"/>
      </w:pPr>
      <w:r>
        <w:rPr>
          <w:rFonts w:ascii="Times New Roman" w:cs="Times New Roman" w:eastAsia="Times New Roman" w:hAnsi="Times New Roman"/>
          <w:b/>
          <w:bCs/>
          <w:sz w:val="32"/>
          <w:szCs w:val="32"/>
        </w:rPr>
        <w:t xml:space="preserve">A Comparative Study of Classification, Clustering, and Association Rule Mining on Real-World Business Datasets</w:t>
      </w:r>
    </w:p>
    <w:p>
      <w:pPr>
        <w:spacing w:after="1200" w:line="360"/>
        <w:jc w:val="center"/>
      </w:pPr>
      <w:r>
        <w:rPr>
          <w:rFonts w:ascii="Times New Roman" w:cs="Times New Roman" w:eastAsia="Times New Roman" w:hAnsi="Times New Roman"/>
          <w:i/>
          <w:iCs/>
          <w:sz w:val="26"/>
          <w:szCs w:val="26"/>
        </w:rPr>
        <w:t xml:space="preserve">CSC 588 — Data Mining</w:t>
      </w:r>
    </w:p>
    <w:p>
      <w:pPr>
        <w:spacing w:after="200" w:line="360"/>
        <w:jc w:val="center"/>
      </w:pPr>
      <w:r>
        <w:rPr>
          <w:rFonts w:ascii="Times New Roman" w:cs="Times New Roman" w:eastAsia="Times New Roman" w:hAnsi="Times New Roman"/>
          <w:b/>
          <w:bCs/>
          <w:sz w:val="22"/>
          <w:szCs w:val="22"/>
        </w:rPr>
        <w:t xml:space="preserve">Group Members:</w:t>
      </w:r>
    </w:p>
    <w:p>
      <w:pPr>
        <w:spacing w:after="100" w:line="360"/>
        <w:jc w:val="center"/>
      </w:pPr>
      <w:r>
        <w:rPr>
          <w:rFonts w:ascii="Times New Roman" w:cs="Times New Roman" w:eastAsia="Times New Roman" w:hAnsi="Times New Roman"/>
          <w:sz w:val="22"/>
          <w:szCs w:val="22"/>
        </w:rPr>
        <w:t xml:space="preserve">Marzoog AlGhazwi — 447910039</w:t>
      </w:r>
    </w:p>
    <w:p>
      <w:pPr>
        <w:spacing w:after="800" w:line="360"/>
        <w:jc w:val="center"/>
      </w:pPr>
      <w:r>
        <w:rPr>
          <w:rFonts w:ascii="Times New Roman" w:cs="Times New Roman" w:eastAsia="Times New Roman" w:hAnsi="Times New Roman"/>
          <w:sz w:val="22"/>
          <w:szCs w:val="22"/>
        </w:rPr>
        <w:t xml:space="preserve">Mohammed Almujtaba — 447910036</w:t>
      </w:r>
    </w:p>
    <w:p>
      <w:pPr>
        <w:spacing w:after="200" w:line="360"/>
        <w:jc w:val="center"/>
      </w:pPr>
      <w:r>
        <w:rPr>
          <w:rFonts w:ascii="Times New Roman" w:cs="Times New Roman" w:eastAsia="Times New Roman" w:hAnsi="Times New Roman"/>
          <w:i/>
          <w:iCs/>
          <w:sz w:val="22"/>
          <w:szCs w:val="22"/>
        </w:rPr>
        <w:t xml:space="preserve">Spring 2026</w:t>
      </w:r>
    </w:p>
    <w:p>
      <w:r>
        <w:br w:type="page"/>
      </w:r>
    </w:p>
    <w:p>
      <w:pPr>
        <w:spacing w:after="120" w:before="28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b w:val="false"/>
          <w:bCs w:val="false"/>
          <w:i w:val="false"/>
          <w:iCs w:val="false"/>
          <w:sz w:val="22"/>
          <w:szCs w:val="22"/>
        </w:rPr>
        <w:t xml:space="preserve">This work presents an integrated study of three core data mining paradigms — </w:t>
      </w:r>
      <w:r>
        <w:rPr>
          <w:rFonts w:ascii="Times New Roman" w:cs="Times New Roman" w:eastAsia="Times New Roman" w:hAnsi="Times New Roman"/>
          <w:b/>
          <w:bCs/>
          <w:i w:val="false"/>
          <w:iCs w:val="false"/>
          <w:sz w:val="22"/>
          <w:szCs w:val="22"/>
        </w:rPr>
        <w:t xml:space="preserve">classification, clustering, and association rule mining</w:t>
      </w:r>
      <w:r>
        <w:rPr>
          <w:rFonts w:ascii="Times New Roman" w:cs="Times New Roman" w:eastAsia="Times New Roman" w:hAnsi="Times New Roman"/>
          <w:b w:val="false"/>
          <w:bCs w:val="false"/>
          <w:i w:val="false"/>
          <w:iCs w:val="false"/>
          <w:sz w:val="22"/>
          <w:szCs w:val="22"/>
        </w:rPr>
        <w:t xml:space="preserve"> — applied to three real-world business datasets and unified through an interactive Streamlit web application. The objective is to demonstrate the practical application of each paradigm, compare algorithms within each, and reflect on the trade-offs between model complexity, performance, and computational cost. For classification, eleven algorithms (Logistic Regression, KNN, Decision Tree, Random Forest, Gradient Boosting, AdaBoost, XGBoost, LightGBM, SVM, Naive Bayes, and a Multi-Layer Perceptron) were applied to the Telco Customer Churn dataset (7,043 customers, 21 features) with stratified train/test splitting, SMOTE for class imbalance, and 5-fold cross-validated GridSearchCV for hyperparameter tuning of the top three baselines. Counter-intuitively, tuned Logistic Regression emerged as the champion (F1 = 0.6147, ROC-AUC = 0.8394), narrowly outperforming SVM and Gradient Boosting, which both regressed after tuning. For clustering, four algorithms (KMeans, Agglomerative, DBSCAN, Gaussian Mixture) were applied to the Mall Customer dataset, with the Elbow method and Silhouette analysis identifying five distinct customer segments (Silhouette = 0.5547 for KMeans). For association rule mining, Apriori and FP-Growth were applied to ~15,000 grocery transactions; both identified the same 750 frequent itemsets, with FP-Growth approximately 3.4× faster. After filtering by lift &gt; 1.0 and confidence &gt; 0.15, eight strong rules emerged, the strongest being {whole milk, yogurt} → {sausage} with lift = 2.18. The combined results illustrate that simpler models can rival complex ensembles on tabular data, that multiple clustering algorithms converge on similar segmentations when the underlying structure is clear, and that algorithmic efficiency (FP-Growth vs Apriori) matters more than algorithmic correctness on retail-scale data. The Streamlit interface ties all three modules into a single tool usable by a non-technical audience.</w:t>
      </w:r>
    </w:p>
    <w:p>
      <w:r>
        <w:br w:type="page"/>
      </w:r>
    </w:p>
    <w:p>
      <w:pPr>
        <w:spacing w:after="120" w:before="28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b w:val="false"/>
          <w:bCs w:val="false"/>
          <w:i w:val="false"/>
          <w:iCs w:val="false"/>
          <w:sz w:val="22"/>
          <w:szCs w:val="22"/>
        </w:rPr>
        <w:t xml:space="preserve">Data mining is the discipline of extracting actionable knowledge from large datasets [1]. Three of its most established paradigms — classification, clustering, and association rule mining — address fundamentally different questions. Classification predicts a labelled outcome from observed features; clustering discovers natural groupings without prior labels; and association rule mining surfaces co-occurrence patterns in transactional data. Although these techniques are individually mature, students and practitioners benefit from comparative experiments that unify them on real datasets, side by side.</w:t>
      </w:r>
    </w:p>
    <w:p>
      <w:pPr>
        <w:spacing w:after="120" w:line="360"/>
        <w:jc w:val="both"/>
      </w:pPr>
      <w:r>
        <w:rPr>
          <w:rFonts w:ascii="Times New Roman" w:cs="Times New Roman" w:eastAsia="Times New Roman" w:hAnsi="Times New Roman"/>
          <w:b w:val="false"/>
          <w:bCs w:val="false"/>
          <w:i w:val="false"/>
          <w:iCs w:val="false"/>
          <w:sz w:val="22"/>
          <w:szCs w:val="22"/>
        </w:rPr>
        <w:t xml:space="preserve">This study has three intertwined objectives. First, it applies a broad set of algorithms to each paradigm — eleven classifiers, four clustering algorithms, and two association-rule miners — and rigorously compares their performance. Second, it reflects on the methodological choices that affect outcomes: preprocessing pipelines, class-imbalance handling, validation strategy, and hyperparameter tuning. Third, it packages the resulting models behind a Streamlit interface so non-technical users can interact with the analysis. Three business-flavoured datasets anchor the work: Telco Customer Churn (classification), Mall Customer Segmentation (clustering), and the Groceries transactional dataset (association rules), providing a unified business narrative — predicting customer behaviour, segmenting customers, and understanding their purchases.</w:t>
      </w:r>
    </w:p>
    <w:p>
      <w:pPr>
        <w:spacing w:after="120" w:line="360"/>
        <w:jc w:val="both"/>
      </w:pPr>
      <w:r>
        <w:rPr>
          <w:rFonts w:ascii="Times New Roman" w:cs="Times New Roman" w:eastAsia="Times New Roman" w:hAnsi="Times New Roman"/>
          <w:b w:val="false"/>
          <w:bCs w:val="false"/>
          <w:i w:val="false"/>
          <w:iCs w:val="false"/>
          <w:sz w:val="22"/>
          <w:szCs w:val="22"/>
        </w:rPr>
        <w:t xml:space="preserve">The central hypothesis examined is that the simplest sufficient model is often the right model. While ensemble methods such as Gradient Boosting [2] and XGBoost [3] have become default choices in industrial settings, our experiments show that on clean, mid-sized tabular data with mostly linear structure, well-tuned Logistic Regression can outperform them. A secondary hypothesis concerns scalability: FP-Growth [4] is theoretically more efficient than Apriori [5], and we confirm a measurable speedup of 3.4× even on a small dataset of ~15,000 transactions.</w:t>
      </w:r>
    </w:p>
    <w:p>
      <w:pPr>
        <w:spacing w:after="120" w:before="280" w:line="360"/>
      </w:pPr>
      <w:r>
        <w:rPr>
          <w:rFonts w:ascii="Times New Roman" w:cs="Times New Roman" w:eastAsia="Times New Roman" w:hAnsi="Times New Roman"/>
          <w:b/>
          <w:bCs/>
          <w:sz w:val="24"/>
          <w:szCs w:val="24"/>
        </w:rPr>
        <w:t xml:space="preserve">2. Related Work</w:t>
      </w:r>
    </w:p>
    <w:p>
      <w:pPr>
        <w:spacing w:after="120" w:line="360"/>
        <w:jc w:val="both"/>
      </w:pPr>
      <w:r>
        <w:rPr>
          <w:rFonts w:ascii="Times New Roman" w:cs="Times New Roman" w:eastAsia="Times New Roman" w:hAnsi="Times New Roman"/>
          <w:b w:val="false"/>
          <w:bCs w:val="false"/>
          <w:i w:val="false"/>
          <w:iCs w:val="false"/>
          <w:sz w:val="22"/>
          <w:szCs w:val="22"/>
        </w:rPr>
        <w:t xml:space="preserve">Customer churn prediction is one of the most studied applied classification problems. Verbeke et al. [6] surveyed predictive models for churn and noted that ensemble methods generally outperform linear baselines on telecom datasets, although the margin is often small and dataset-dependent. The Telco Customer Churn dataset used here has appeared in numerous recent studies; published tuned-model F1 scores typically fall in the range 0.60–0.68, with ROC-AUC between 0.83 and 0.86 [7]. Our results are consistent with this range.</w:t>
      </w:r>
    </w:p>
    <w:p>
      <w:pPr>
        <w:spacing w:after="120" w:line="360"/>
        <w:jc w:val="both"/>
      </w:pPr>
      <w:r>
        <w:rPr>
          <w:rFonts w:ascii="Times New Roman" w:cs="Times New Roman" w:eastAsia="Times New Roman" w:hAnsi="Times New Roman"/>
          <w:b w:val="false"/>
          <w:bCs w:val="false"/>
          <w:i w:val="false"/>
          <w:iCs w:val="false"/>
          <w:sz w:val="22"/>
          <w:szCs w:val="22"/>
        </w:rPr>
        <w:t xml:space="preserve">For class-imbalance handling, the Synthetic Minority Over-sampling Technique (SMOTE) introduced by Chawla et al. [8] remains the standard. SMOTE generates synthetic minority-class samples through interpolation rather than naïve duplication, helping classifiers learn a more useful decision boundary. We apply SMOTE only to training data after the train/test split, following best practice to avoid information leakage.</w:t>
      </w:r>
    </w:p>
    <w:p>
      <w:pPr>
        <w:spacing w:after="120" w:line="360"/>
        <w:jc w:val="both"/>
      </w:pPr>
      <w:r>
        <w:rPr>
          <w:rFonts w:ascii="Times New Roman" w:cs="Times New Roman" w:eastAsia="Times New Roman" w:hAnsi="Times New Roman"/>
          <w:b w:val="false"/>
          <w:bCs w:val="false"/>
          <w:i w:val="false"/>
          <w:iCs w:val="false"/>
          <w:sz w:val="22"/>
          <w:szCs w:val="22"/>
        </w:rPr>
        <w:t xml:space="preserve">In clustering, KMeans [9] remains a baseline against which newer methods are measured. Hierarchical clustering, DBSCAN [10], and Gaussian Mixture Models offer alternative paradigms suited to different data shapes. The Mall Customer Segmentation dataset is a popular pedagogical example; published analyses consistently identify five segments aligned with the income–spending plane, with Silhouette scores around 0.55, matching our results.</w:t>
      </w:r>
    </w:p>
    <w:p>
      <w:pPr>
        <w:spacing w:after="120" w:line="360"/>
        <w:jc w:val="both"/>
      </w:pPr>
      <w:r>
        <w:rPr>
          <w:rFonts w:ascii="Times New Roman" w:cs="Times New Roman" w:eastAsia="Times New Roman" w:hAnsi="Times New Roman"/>
          <w:b w:val="false"/>
          <w:bCs w:val="false"/>
          <w:i w:val="false"/>
          <w:iCs w:val="false"/>
          <w:sz w:val="22"/>
          <w:szCs w:val="22"/>
        </w:rPr>
        <w:t xml:space="preserve">Association rule mining was pioneered by Agrawal et al. with the Apriori algorithm [5], which uses anti-monotonic pruning to reduce the search space of candidate itemsets. Han et al. introduced FP-Growth [4], which builds a compact tree structure and mines patterns with only two database scans, eliminating the costly candidate-generation phase. The Groceries dataset [11] is a standard benchmark for this task and is known for its sparsity, with mean basket sizes around 2.6 items.</w:t>
      </w:r>
    </w:p>
    <w:p>
      <w:pPr>
        <w:spacing w:after="120" w:before="280" w:line="360"/>
      </w:pPr>
      <w:r>
        <w:rPr>
          <w:rFonts w:ascii="Times New Roman" w:cs="Times New Roman" w:eastAsia="Times New Roman" w:hAnsi="Times New Roman"/>
          <w:b/>
          <w:bCs/>
          <w:sz w:val="24"/>
          <w:szCs w:val="24"/>
        </w:rPr>
        <w:t xml:space="preserve">3. Methodology</w:t>
      </w:r>
    </w:p>
    <w:p>
      <w:pPr>
        <w:spacing w:after="100" w:before="200" w:line="360"/>
      </w:pPr>
      <w:r>
        <w:rPr>
          <w:rFonts w:ascii="Times New Roman" w:cs="Times New Roman" w:eastAsia="Times New Roman" w:hAnsi="Times New Roman"/>
          <w:b/>
          <w:bCs/>
          <w:i/>
          <w:iCs/>
          <w:sz w:val="22"/>
          <w:szCs w:val="22"/>
        </w:rPr>
        <w:t xml:space="preserve">3.1 Datasets</w:t>
      </w:r>
    </w:p>
    <w:p>
      <w:pPr>
        <w:spacing w:after="120" w:line="360"/>
        <w:jc w:val="both"/>
      </w:pPr>
      <w:r>
        <w:rPr>
          <w:rFonts w:ascii="Times New Roman" w:cs="Times New Roman" w:eastAsia="Times New Roman" w:hAnsi="Times New Roman"/>
          <w:b w:val="false"/>
          <w:bCs w:val="false"/>
          <w:i w:val="false"/>
          <w:iCs w:val="false"/>
          <w:sz w:val="22"/>
          <w:szCs w:val="22"/>
        </w:rPr>
        <w:t xml:space="preserve">Three publicly available datasets were used, one per paradigm:</w:t>
      </w:r>
    </w:p>
    <w:p>
      <w:pPr>
        <w:pStyle w:val="ListParagraph"/>
        <w:numPr>
          <w:ilvl w:val="0"/>
          <w:numId w:val="2"/>
        </w:numPr>
        <w:spacing w:after="60" w:line="360"/>
      </w:pPr>
      <w:r>
        <w:rPr>
          <w:rFonts w:ascii="Times New Roman" w:cs="Times New Roman" w:eastAsia="Times New Roman" w:hAnsi="Times New Roman"/>
          <w:sz w:val="22"/>
          <w:szCs w:val="22"/>
        </w:rPr>
        <w:t xml:space="preserve">Telco Customer Churn (classification): 7,043 customer records with 21 features (demographics, account information, service subscriptions, billing). The binary target is Churn (Yes/No), with a 73/27 class imbalance.</w:t>
      </w:r>
    </w:p>
    <w:p>
      <w:pPr>
        <w:pStyle w:val="ListParagraph"/>
        <w:numPr>
          <w:ilvl w:val="0"/>
          <w:numId w:val="2"/>
        </w:numPr>
        <w:spacing w:after="60" w:line="360"/>
      </w:pPr>
      <w:r>
        <w:rPr>
          <w:rFonts w:ascii="Times New Roman" w:cs="Times New Roman" w:eastAsia="Times New Roman" w:hAnsi="Times New Roman"/>
          <w:sz w:val="22"/>
          <w:szCs w:val="22"/>
        </w:rPr>
        <w:t xml:space="preserve">Mall Customer Segmentation (clustering): 200 records with 5 features — Customer ID, Gender, Age, Annual Income (k$), and Spending Score (1–100). No target label.</w:t>
      </w:r>
    </w:p>
    <w:p>
      <w:pPr>
        <w:pStyle w:val="ListParagraph"/>
        <w:numPr>
          <w:ilvl w:val="0"/>
          <w:numId w:val="2"/>
        </w:numPr>
        <w:spacing w:after="60" w:line="360"/>
      </w:pPr>
      <w:r>
        <w:rPr>
          <w:rFonts w:ascii="Times New Roman" w:cs="Times New Roman" w:eastAsia="Times New Roman" w:hAnsi="Times New Roman"/>
          <w:sz w:val="22"/>
          <w:szCs w:val="22"/>
        </w:rPr>
        <w:t xml:space="preserve">Groceries Dataset (association rules): 38,765 individual purchase records across 3,898 unique customers and 167 unique items, grouped into 14,963 distinct shopping baskets by customer-date.</w:t>
      </w:r>
    </w:p>
    <w:p>
      <w:pPr>
        <w:spacing w:after="100" w:before="200" w:line="360"/>
      </w:pPr>
      <w:r>
        <w:rPr>
          <w:rFonts w:ascii="Times New Roman" w:cs="Times New Roman" w:eastAsia="Times New Roman" w:hAnsi="Times New Roman"/>
          <w:b/>
          <w:bCs/>
          <w:i/>
          <w:iCs/>
          <w:sz w:val="22"/>
          <w:szCs w:val="22"/>
        </w:rPr>
        <w:t xml:space="preserve">3.2 Platform and Tools</w:t>
      </w:r>
    </w:p>
    <w:p>
      <w:pPr>
        <w:spacing w:after="120" w:line="360"/>
        <w:jc w:val="both"/>
      </w:pPr>
      <w:r>
        <w:rPr>
          <w:rFonts w:ascii="Times New Roman" w:cs="Times New Roman" w:eastAsia="Times New Roman" w:hAnsi="Times New Roman"/>
          <w:b w:val="false"/>
          <w:bCs w:val="false"/>
          <w:i w:val="false"/>
          <w:iCs w:val="false"/>
          <w:sz w:val="22"/>
          <w:szCs w:val="22"/>
        </w:rPr>
        <w:t xml:space="preserve">All experiments were implemented in Python 3.12 using the scikit-learn ecosystem [12]. Specifically, scikit-learn provided preprocessing utilities (StandardScaler, OneHotEncoder, ColumnTransformer), the train/test split, GridSearchCV, and nine of the eleven classifiers; XGBoost and LightGBM were used through their official Python bindings. imbalanced-learn supplied SMOTE [8]. The mlxtend library [13] was used for Apriori and FP-Growth. The interactive user interface was built with Streamlit. All experiments are reproducible — random seeds (random_state = 42) are fixed everywhere randomness occurs.</w:t>
      </w:r>
    </w:p>
    <w:p>
      <w:pPr>
        <w:spacing w:after="100" w:before="200" w:line="360"/>
      </w:pPr>
      <w:r>
        <w:rPr>
          <w:rFonts w:ascii="Times New Roman" w:cs="Times New Roman" w:eastAsia="Times New Roman" w:hAnsi="Times New Roman"/>
          <w:b/>
          <w:bCs/>
          <w:i/>
          <w:iCs/>
          <w:sz w:val="22"/>
          <w:szCs w:val="22"/>
        </w:rPr>
        <w:t xml:space="preserve">3.3 Preprocessing</w:t>
      </w:r>
    </w:p>
    <w:p>
      <w:pPr>
        <w:spacing w:after="120" w:line="360"/>
        <w:jc w:val="both"/>
      </w:pPr>
      <w:r>
        <w:rPr>
          <w:rFonts w:ascii="Times New Roman" w:cs="Times New Roman" w:eastAsia="Times New Roman" w:hAnsi="Times New Roman"/>
          <w:b w:val="false"/>
          <w:bCs w:val="false"/>
          <w:i w:val="false"/>
          <w:iCs w:val="false"/>
          <w:sz w:val="22"/>
          <w:szCs w:val="22"/>
        </w:rPr>
        <w:t xml:space="preserve">For the Telco classification task, preprocessing followed a strict order designed to prevent information leakage. The customerID column (no predictive value) was dropped, and the TotalCharges column — stored as text with 11 blank entries for brand-new customers — was coerced to numeric and missing values filled with 0. The target Churn was mapped to {0, 1}. The dataset was then split 80/20 with stratification on the target to preserve the 73/27 class balance in both train and test partitions. A ColumnTransformer was fit only on the training data: numerical columns received StandardScaler, and categorical columns received OneHotEncoder with drop='first' to avoid the dummy-variable trap. The fitted transformer was then applied to the test set. SMOTE was applied exclusively to the transformed training set, balancing it to 8,278 rows (50/50). The test set, 1,409 rows, remained untouched and retained the original 73/27 distribution.</w:t>
      </w:r>
    </w:p>
    <w:p>
      <w:pPr>
        <w:spacing w:after="120" w:line="360"/>
        <w:jc w:val="both"/>
      </w:pPr>
      <w:r>
        <w:rPr>
          <w:rFonts w:ascii="Times New Roman" w:cs="Times New Roman" w:eastAsia="Times New Roman" w:hAnsi="Times New Roman"/>
          <w:b w:val="false"/>
          <w:bCs w:val="false"/>
          <w:i w:val="false"/>
          <w:iCs w:val="false"/>
          <w:sz w:val="22"/>
          <w:szCs w:val="22"/>
        </w:rPr>
        <w:t xml:space="preserve">For clustering, the two clustering-relevant features (Annual Income, Spending Score) were extracted and standardized using StandardScaler. Standardization is essential for distance-based clustering: without it, the Income column (range 15–137) would dominate the Euclidean distance over Spending Score (range 1–100), distorting cluster boundaries.</w:t>
      </w:r>
    </w:p>
    <w:p>
      <w:pPr>
        <w:spacing w:after="120" w:line="360"/>
        <w:jc w:val="both"/>
      </w:pPr>
      <w:r>
        <w:rPr>
          <w:rFonts w:ascii="Times New Roman" w:cs="Times New Roman" w:eastAsia="Times New Roman" w:hAnsi="Times New Roman"/>
          <w:b w:val="false"/>
          <w:bCs w:val="false"/>
          <w:i w:val="false"/>
          <w:iCs w:val="false"/>
          <w:sz w:val="22"/>
          <w:szCs w:val="22"/>
        </w:rPr>
        <w:t xml:space="preserve">For association rule mining, the long-format purchase records were grouped by (Member_number, Date) to reconstruct individual shopping baskets, yielding 14,963 transactions. These were converted to a one-hot encoded basket matrix (14,963 × 167) using mlxtend's TransactionEncoder before applying the rule-mining algorithms.</w:t>
      </w:r>
    </w:p>
    <w:p>
      <w:pPr>
        <w:spacing w:after="100" w:before="200" w:line="360"/>
      </w:pPr>
      <w:r>
        <w:rPr>
          <w:rFonts w:ascii="Times New Roman" w:cs="Times New Roman" w:eastAsia="Times New Roman" w:hAnsi="Times New Roman"/>
          <w:b/>
          <w:bCs/>
          <w:i/>
          <w:iCs/>
          <w:sz w:val="22"/>
          <w:szCs w:val="22"/>
        </w:rPr>
        <w:t xml:space="preserve">3.4 Validation Strategy</w:t>
      </w:r>
    </w:p>
    <w:p>
      <w:pPr>
        <w:spacing w:after="120" w:line="360"/>
        <w:jc w:val="both"/>
      </w:pPr>
      <w:r>
        <w:rPr>
          <w:rFonts w:ascii="Times New Roman" w:cs="Times New Roman" w:eastAsia="Times New Roman" w:hAnsi="Times New Roman"/>
          <w:b w:val="false"/>
          <w:bCs w:val="false"/>
          <w:i w:val="false"/>
          <w:iCs w:val="false"/>
          <w:sz w:val="22"/>
          <w:szCs w:val="22"/>
        </w:rPr>
        <w:t xml:space="preserve">For classification, a stratified 80/20 holdout was used for the final test, and 5-fold StratifiedKFold cross-validation was used inside GridSearchCV to compare hyperparameter configurations. F1 score was chosen as the primary scoring metric because of the class imbalance — plain accuracy would be misleading, since a model predicting 'No Churn' for every customer would achieve approximately 73% accuracy while being entirely useless.</w:t>
      </w:r>
    </w:p>
    <w:p>
      <w:pPr>
        <w:spacing w:after="120" w:line="360"/>
        <w:jc w:val="both"/>
      </w:pPr>
      <w:r>
        <w:rPr>
          <w:rFonts w:ascii="Times New Roman" w:cs="Times New Roman" w:eastAsia="Times New Roman" w:hAnsi="Times New Roman"/>
          <w:b w:val="false"/>
          <w:bCs w:val="false"/>
          <w:i w:val="false"/>
          <w:iCs w:val="false"/>
          <w:sz w:val="22"/>
          <w:szCs w:val="22"/>
        </w:rPr>
        <w:t xml:space="preserve">For clustering, three internal validation metrics were used: Silhouette Score (higher is better), Davies-Bouldin Index (lower is better), and Calinski-Harabasz Index (higher is better). Combining three metrics provides credibility — if all three agree, the result is more reliable than a single number could suggest. The optimal number of clusters was determined by the Elbow method (within-cluster sum of squares) corroborated by Silhouette analysis.</w:t>
      </w:r>
    </w:p>
    <w:p>
      <w:pPr>
        <w:spacing w:after="120" w:line="360"/>
        <w:jc w:val="both"/>
      </w:pPr>
      <w:r>
        <w:rPr>
          <w:rFonts w:ascii="Times New Roman" w:cs="Times New Roman" w:eastAsia="Times New Roman" w:hAnsi="Times New Roman"/>
          <w:b w:val="false"/>
          <w:bCs w:val="false"/>
          <w:i w:val="false"/>
          <w:iCs w:val="false"/>
          <w:sz w:val="22"/>
          <w:szCs w:val="22"/>
        </w:rPr>
        <w:t xml:space="preserve">For association rules, the standard metrics support, confidence, and lift were used. Sensitivity analysis across multiple min_support thresholds (from 0.001 to 0.05) validated the threshold choice.</w:t>
      </w:r>
    </w:p>
    <w:p>
      <w:pPr>
        <w:spacing w:after="100" w:before="200" w:line="360"/>
      </w:pPr>
      <w:r>
        <w:rPr>
          <w:rFonts w:ascii="Times New Roman" w:cs="Times New Roman" w:eastAsia="Times New Roman" w:hAnsi="Times New Roman"/>
          <w:b/>
          <w:bCs/>
          <w:i/>
          <w:iCs/>
          <w:sz w:val="22"/>
          <w:szCs w:val="22"/>
        </w:rPr>
        <w:t xml:space="preserve">3.5 Algorithms</w:t>
      </w:r>
    </w:p>
    <w:p>
      <w:pPr>
        <w:spacing w:after="120" w:line="360"/>
        <w:jc w:val="both"/>
      </w:pPr>
      <w:r>
        <w:rPr>
          <w:rFonts w:ascii="Times New Roman" w:cs="Times New Roman" w:eastAsia="Times New Roman" w:hAnsi="Times New Roman"/>
          <w:b w:val="false"/>
          <w:bCs w:val="false"/>
          <w:i w:val="false"/>
          <w:iCs w:val="false"/>
          <w:sz w:val="22"/>
          <w:szCs w:val="22"/>
        </w:rPr>
        <w:t xml:space="preserve">For classification, eleven algorithms spanning seven algorithmic families were evaluated: Logistic Regression (linear), KNN (instance-based), Decision Tree (tree), Random Forest (bagging ensemble), Gradient Boosting (boosting ensemble) [2], AdaBoost (boosting), XGBoost [3] and LightGBM (optimized boosting), SVM with RBF kernel (kernel method), Gaussian Naive Bayes (probabilistic), and Multi-Layer Perceptron (neural). For clustering: KMeans, Agglomerative Clustering with Ward linkage, DBSCAN [10], and Gaussian Mixture. For association rule mining: Apriori [5] and FP-Growth [4].</w:t>
      </w:r>
    </w:p>
    <w:p>
      <w:pPr>
        <w:spacing w:after="100" w:before="200" w:line="360"/>
      </w:pPr>
      <w:r>
        <w:rPr>
          <w:rFonts w:ascii="Times New Roman" w:cs="Times New Roman" w:eastAsia="Times New Roman" w:hAnsi="Times New Roman"/>
          <w:b/>
          <w:bCs/>
          <w:i/>
          <w:iCs/>
          <w:sz w:val="22"/>
          <w:szCs w:val="22"/>
        </w:rPr>
        <w:t xml:space="preserve">3.6 Hyperparameter Tuning</w:t>
      </w:r>
    </w:p>
    <w:p>
      <w:pPr>
        <w:spacing w:after="120" w:line="360"/>
        <w:jc w:val="both"/>
      </w:pPr>
      <w:r>
        <w:rPr>
          <w:rFonts w:ascii="Times New Roman" w:cs="Times New Roman" w:eastAsia="Times New Roman" w:hAnsi="Times New Roman"/>
          <w:b w:val="false"/>
          <w:bCs w:val="false"/>
          <w:i w:val="false"/>
          <w:iCs w:val="false"/>
          <w:sz w:val="22"/>
          <w:szCs w:val="22"/>
        </w:rPr>
        <w:t xml:space="preserve">Tuning all eleven classifiers exhaustively would have been computationally wasteful, since lower-performing baselines were highly unlikely to overtake the top-tier models even with tuning. Therefore, after baseline training, the top three classifiers by F1 (Gradient Boosting, SVM, and Logistic Regression) were tuned with GridSearchCV using 5-fold stratified cross-validation. The grids covered key hyperparameters: for Gradient Boosting (n_estimators, learning_rate, max_depth), for SVM (C, gamma, kernel), and for Logistic Regression (C, penalty, solver). The best-CV-F1 configuration for each model was then evaluated on the held-out test set.</w:t>
      </w:r>
    </w:p>
    <w:p>
      <w:r>
        <w:br w:type="page"/>
      </w:r>
    </w:p>
    <w:p>
      <w:pPr>
        <w:spacing w:after="120" w:before="280" w:line="360"/>
      </w:pPr>
      <w:r>
        <w:rPr>
          <w:rFonts w:ascii="Times New Roman" w:cs="Times New Roman" w:eastAsia="Times New Roman" w:hAnsi="Times New Roman"/>
          <w:b/>
          <w:bCs/>
          <w:sz w:val="24"/>
          <w:szCs w:val="24"/>
        </w:rPr>
        <w:t xml:space="preserve">4. Experiments and Results</w:t>
      </w:r>
    </w:p>
    <w:p>
      <w:pPr>
        <w:spacing w:after="100" w:before="200" w:line="360"/>
      </w:pPr>
      <w:r>
        <w:rPr>
          <w:rFonts w:ascii="Times New Roman" w:cs="Times New Roman" w:eastAsia="Times New Roman" w:hAnsi="Times New Roman"/>
          <w:b/>
          <w:bCs/>
          <w:i/>
          <w:iCs/>
          <w:sz w:val="22"/>
          <w:szCs w:val="22"/>
        </w:rPr>
        <w:t xml:space="preserve">4.1 Classification — Telco Customer Churn</w:t>
      </w:r>
    </w:p>
    <w:p>
      <w:pPr>
        <w:spacing w:after="120" w:line="360"/>
        <w:jc w:val="both"/>
      </w:pPr>
      <w:r>
        <w:rPr>
          <w:rFonts w:ascii="Times New Roman" w:cs="Times New Roman" w:eastAsia="Times New Roman" w:hAnsi="Times New Roman"/>
          <w:b w:val="false"/>
          <w:bCs w:val="false"/>
          <w:i w:val="false"/>
          <w:iCs w:val="false"/>
          <w:sz w:val="22"/>
          <w:szCs w:val="22"/>
        </w:rPr>
        <w:t xml:space="preserve">Table I shows the baseline performance of all eleven classifiers using default scikit-learn hyperparameters, sorted by F1. Gradient Boosting led on F1 (0.6251), and tied with Logistic Regression for the best ROC-AUC (0.8404). KNN had the fastest training time (0.0006 s — KNN's 'training' is merely storing the dataset), while MLP and SVM were the slowest. Naive Bayes had the highest recall (0.858) but lowest precision (0.433), reflecting its tendency to over-predict the positive class — useful when missing a churner is costlier than a false alarm, but problematic otherwise.</w:t>
      </w:r>
    </w:p>
    <w:p>
      <w:pPr>
        <w:spacing w:after="200" w:before="60" w:line="240"/>
        <w:jc w:val="center"/>
      </w:pPr>
      <w:r>
        <w:rPr>
          <w:rFonts w:ascii="Times New Roman" w:cs="Times New Roman" w:eastAsia="Times New Roman" w:hAnsi="Times New Roman"/>
          <w:i/>
          <w:iCs/>
          <w:sz w:val="20"/>
          <w:szCs w:val="20"/>
        </w:rPr>
        <w:t xml:space="preserve">Table I — Baseline classification results (sorted by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Model</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Accuracy</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Precision</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Recall</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F1</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ROC-AUC</w:t>
            </w:r>
          </w:p>
        </w:tc>
        <w:tc>
          <w:tcPr>
            <w:tcW w:type="dxa" w:w="11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Time (s)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Gradient Boosting</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0.7779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0.5662</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0.6979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0.6251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0.8404</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SVM</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0.7537</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0.5251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0.7540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0.6191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0.8235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3.24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Logistic Regression</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0.7367</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0.5025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0.7995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0.6171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0.8404</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0.03</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AdaBoost</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0.7367</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0.5026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0.7620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0.6057</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0.8369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0.16</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LightGBM</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0.7821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0.5870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0.6043</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0.5955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0.8315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0.47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XGBoost</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0.7786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0.5829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0.5829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0.5829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0.8241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Random Forest</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0.7736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0.5718</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0.5856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0.5786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0.8239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Naive Bayes</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0.6643</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0.4332</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0.8583</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0.5758</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0.8083</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MLP</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0.7438</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0.5142</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0.6310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0.5666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0.7956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3.88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KNN</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0.7005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0.4596</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0.7299</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0.5640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0.7713</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Decision Tree</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0.7175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0.4721</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0.5428</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0.5050</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0.6615</w:t>
            </w:r>
          </w:p>
        </w:tc>
        <w:tc>
          <w:tcPr>
            <w:tcW w:type="dxa" w:w="11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0.03</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The top three baselines (Gradient Boosting, SVM, Logistic Regression) were then tuned with GridSearchCV. The results, summarized in Table II, are counter-intuitive: tuning improved cross-validation F1 substantially but degraded test-set F1 for two of three models. Gradient Boosting's CV F1 reached 0.8587 but its test F1 fell to 0.5763, suggesting GridSearchCV selected hyperparameters (max_depth = 7) that overfit the SMOTE-augmented training folds. SVM showed a milder version of the same pattern (CV F1 = 0.8378, test F1 = 0.6016). Logistic Regression, with only one substantive hyperparameter (C = 100), barely changed (CV F1 = 0.7823, test F1 = 0.6147). After tuning, Logistic Regression therefore became the champion model — the simplest of the three.</w:t>
      </w:r>
    </w:p>
    <w:p>
      <w:pPr>
        <w:spacing w:after="200" w:before="60" w:line="240"/>
        <w:jc w:val="center"/>
      </w:pPr>
      <w:r>
        <w:rPr>
          <w:rFonts w:ascii="Times New Roman" w:cs="Times New Roman" w:eastAsia="Times New Roman" w:hAnsi="Times New Roman"/>
          <w:i/>
          <w:iCs/>
          <w:sz w:val="20"/>
          <w:szCs w:val="20"/>
        </w:rPr>
        <w:t xml:space="preserve">Table II — Tuned results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140"/>
        <w:gridCol w:w="1140"/>
        <w:gridCol w:w="1340"/>
        <w:gridCol w:w="114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Model</w:t>
            </w:r>
          </w:p>
        </w:tc>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Best params</w:t>
            </w:r>
          </w:p>
        </w:tc>
        <w:tc>
          <w:tcPr>
            <w:tcW w:type="dxa" w:w="11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CV F1</w:t>
            </w:r>
          </w:p>
        </w:tc>
        <w:tc>
          <w:tcPr>
            <w:tcW w:type="dxa" w:w="11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Test F1</w:t>
            </w:r>
          </w:p>
        </w:tc>
        <w:tc>
          <w:tcPr>
            <w:tcW w:type="dxa" w:w="1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Test ROC-AUC</w:t>
            </w:r>
          </w:p>
        </w:tc>
        <w:tc>
          <w:tcPr>
            <w:tcW w:type="dxa" w:w="11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Tune time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Logistic Regression</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C=100, L2</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0.7823</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0.6147</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0.8394</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0.2 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SVM</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C=10, RBF</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0.8378</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0.6016</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0.8090</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14.1 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Gradient Boosting</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lr=0.05, depth=7, n=300</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0.8587</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0.5763</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0.8196</w:t>
            </w:r>
          </w:p>
        </w:tc>
        <w:tc>
          <w:tcPr>
            <w:tcW w:type="dxa" w:w="11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39.3 s</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This result is not an artifact: it reflects a known phenomenon in tabular learning. When the underlying signal is approximately linear, regularized linear models can match or beat ensemble methods, with the added benefits of fast training, interpretability, and resistance to overfitting [14]. Logistic Regression's 30-feature coefficient vector is human-readable; one can read off that 'tenure' has a negative coefficient and 'fiber-optic internet' has a positive one, directly explaining the prediction. Gradient Boosting offers no such transparency.</w:t>
      </w:r>
    </w:p>
    <w:p>
      <w:pPr>
        <w:spacing w:after="120" w:line="360"/>
        <w:jc w:val="both"/>
      </w:pPr>
      <w:r>
        <w:rPr>
          <w:rFonts w:ascii="Times New Roman" w:cs="Times New Roman" w:eastAsia="Times New Roman" w:hAnsi="Times New Roman"/>
          <w:b w:val="false"/>
          <w:bCs w:val="false"/>
          <w:i w:val="false"/>
          <w:iCs w:val="false"/>
          <w:sz w:val="22"/>
          <w:szCs w:val="22"/>
        </w:rPr>
        <w:t xml:space="preserve">On the test set, the tuned Logistic Regression achieved precision 0.5025, recall 0.7914, F1 0.6147, and ROC-AUC 0.8394. The high recall is particularly valuable for the business problem — missing an actual churner (a false negative) is typically more costly than offering a small retention incentive to a customer who would have stayed. The confusion matrix (Figure 1, see notebook screenshots) confirmed that the model correctly identifies 79% of true churners while maintaining acceptable specificity.</w:t>
      </w:r>
    </w:p>
    <w:p>
      <w:pPr>
        <w:spacing w:after="100" w:before="200" w:line="360"/>
      </w:pPr>
      <w:r>
        <w:rPr>
          <w:rFonts w:ascii="Times New Roman" w:cs="Times New Roman" w:eastAsia="Times New Roman" w:hAnsi="Times New Roman"/>
          <w:b/>
          <w:bCs/>
          <w:i/>
          <w:iCs/>
          <w:sz w:val="22"/>
          <w:szCs w:val="22"/>
        </w:rPr>
        <w:t xml:space="preserve">4.2 Clustering — Mall Customer Segmentation</w:t>
      </w:r>
    </w:p>
    <w:p>
      <w:pPr>
        <w:spacing w:after="120" w:line="360"/>
        <w:jc w:val="both"/>
      </w:pPr>
      <w:r>
        <w:rPr>
          <w:rFonts w:ascii="Times New Roman" w:cs="Times New Roman" w:eastAsia="Times New Roman" w:hAnsi="Times New Roman"/>
          <w:b w:val="false"/>
          <w:bCs w:val="false"/>
          <w:i w:val="false"/>
          <w:iCs w:val="false"/>
          <w:sz w:val="22"/>
          <w:szCs w:val="22"/>
        </w:rPr>
        <w:t xml:space="preserve">The Elbow method and Silhouette analysis both identified k = 5 as the optimal number of clusters, with the Silhouette curve peaking sharply at this value (0.5547) before declining for higher k. Four algorithms were then trained at k = 5; DBSCAN, which determines its own cluster count, ran with eps = 0.5 and min_samples = 5.</w:t>
      </w:r>
    </w:p>
    <w:p>
      <w:pPr>
        <w:spacing w:after="200" w:before="60" w:line="240"/>
        <w:jc w:val="center"/>
      </w:pPr>
      <w:r>
        <w:rPr>
          <w:rFonts w:ascii="Times New Roman" w:cs="Times New Roman" w:eastAsia="Times New Roman" w:hAnsi="Times New Roman"/>
          <w:i/>
          <w:iCs/>
          <w:sz w:val="20"/>
          <w:szCs w:val="20"/>
        </w:rPr>
        <w:t xml:space="preserve">Table III — Comparison of clustering algorithms on Mall Customer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740"/>
        <w:gridCol w:w="1980"/>
        <w:gridCol w:w="200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Algorithm</w:t>
            </w:r>
          </w:p>
        </w:tc>
        <w:tc>
          <w:tcPr>
            <w:tcW w:type="dxa" w:w="12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Clusters</w:t>
            </w:r>
          </w:p>
        </w:tc>
        <w:tc>
          <w:tcPr>
            <w:tcW w:type="dxa" w:w="17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Silhouette ↑</w:t>
            </w:r>
          </w:p>
        </w:tc>
        <w:tc>
          <w:tcPr>
            <w:tcW w:type="dxa" w:w="198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Davies-Bouldin ↓</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Calinski-Harabasz ↑</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KMeans</w:t>
            </w:r>
          </w:p>
        </w:tc>
        <w:tc>
          <w:tcPr>
            <w:tcW w:type="dxa" w:w="1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0.5547</w:t>
            </w:r>
          </w:p>
        </w:tc>
        <w:tc>
          <w:tcPr>
            <w:tcW w:type="dxa" w:w="19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0.5722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248.65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Agglomerative</w:t>
            </w:r>
          </w:p>
        </w:tc>
        <w:tc>
          <w:tcPr>
            <w:tcW w:type="dxa" w:w="1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0.5538</w:t>
            </w:r>
          </w:p>
        </w:tc>
        <w:tc>
          <w:tcPr>
            <w:tcW w:type="dxa" w:w="19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0.5779</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244.41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Gaussian Mixture</w:t>
            </w:r>
          </w:p>
        </w:tc>
        <w:tc>
          <w:tcPr>
            <w:tcW w:type="dxa" w:w="1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0.5537</w:t>
            </w:r>
          </w:p>
        </w:tc>
        <w:tc>
          <w:tcPr>
            <w:tcW w:type="dxa" w:w="19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0.5760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244.94</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DBSCAN</w:t>
            </w:r>
          </w:p>
        </w:tc>
        <w:tc>
          <w:tcPr>
            <w:tcW w:type="dxa" w:w="1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0.3876</w:t>
            </w:r>
          </w:p>
        </w:tc>
        <w:tc>
          <w:tcPr>
            <w:tcW w:type="dxa" w:w="19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0.7889</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85.39</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KMeans, Agglomerative, and Gaussian Mixture produced nearly identical results (Silhouette ≈ 0.554), confirming that the natural cluster structure in the income-spending plane is robust to algorithm choice. DBSCAN, at the chosen parameters, found only 2 clusters and flagged 8 points as noise, with a much lower Silhouette (0.39). This is not a failure of DBSCAN — the algorithm is genuinely designed for arbitrary-shaped clusters and outlier detection rather than partitioning roughly-spherical groups — but it does suggest that the income-spending plane is better served by a centroid-based or model-based method.</w:t>
      </w:r>
    </w:p>
    <w:p>
      <w:pPr>
        <w:spacing w:after="120" w:line="360"/>
        <w:jc w:val="both"/>
      </w:pPr>
      <w:r>
        <w:rPr>
          <w:rFonts w:ascii="Times New Roman" w:cs="Times New Roman" w:eastAsia="Times New Roman" w:hAnsi="Times New Roman"/>
          <w:b w:val="false"/>
          <w:bCs w:val="false"/>
          <w:i w:val="false"/>
          <w:iCs w:val="false"/>
          <w:sz w:val="22"/>
          <w:szCs w:val="22"/>
        </w:rPr>
        <w:t xml:space="preserve">The five KMeans clusters were interpreted as marketing personas (Table IV). Each cluster has a clear business profile, and the interpretation directly informs the customer-segmentation page of the Streamlit interface.</w:t>
      </w:r>
    </w:p>
    <w:p>
      <w:pPr>
        <w:spacing w:after="200" w:before="60" w:line="240"/>
        <w:jc w:val="center"/>
      </w:pPr>
      <w:r>
        <w:rPr>
          <w:rFonts w:ascii="Times New Roman" w:cs="Times New Roman" w:eastAsia="Times New Roman" w:hAnsi="Times New Roman"/>
          <w:i/>
          <w:iCs/>
          <w:sz w:val="20"/>
          <w:szCs w:val="20"/>
        </w:rPr>
        <w:t xml:space="preserve">Table IV — Cluster profiles for KMeans (k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360"/>
        <w:gridCol w:w="940"/>
        <w:gridCol w:w="1340"/>
        <w:gridCol w:w="1740"/>
        <w:gridCol w:w="1940"/>
      </w:tblGrid>
      <w:tr>
        <w:tc>
          <w:tcPr>
            <w:tcW w:type="dxa" w:w="10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Cluster</w:t>
            </w:r>
          </w:p>
        </w:tc>
        <w:tc>
          <w:tcPr>
            <w:tcW w:type="dxa" w:w="2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Persona</w:t>
            </w:r>
          </w:p>
        </w:tc>
        <w:tc>
          <w:tcPr>
            <w:tcW w:type="dxa" w:w="9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Size</w:t>
            </w:r>
          </w:p>
        </w:tc>
        <w:tc>
          <w:tcPr>
            <w:tcW w:type="dxa" w:w="13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Avg Age</w:t>
            </w:r>
          </w:p>
        </w:tc>
        <w:tc>
          <w:tcPr>
            <w:tcW w:type="dxa" w:w="17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Avg Income (k$)</w:t>
            </w:r>
          </w:p>
        </w:tc>
        <w:tc>
          <w:tcPr>
            <w:tcW w:type="dxa" w:w="19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Avg Spending</w:t>
            </w:r>
          </w:p>
        </w:tc>
      </w:tr>
      <w:tr>
        <w:tc>
          <w:tcPr>
            <w:tcW w:type="dxa" w:w="10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Average Shoppers</w:t>
            </w:r>
          </w:p>
        </w:tc>
        <w:tc>
          <w:tcPr>
            <w:tcW w:type="dxa" w:w="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81</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42.7</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55.3</w:t>
            </w:r>
          </w:p>
        </w:tc>
        <w:tc>
          <w:tcPr>
            <w:tcW w:type="dxa" w:w="1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49.5</w:t>
            </w:r>
          </w:p>
        </w:tc>
      </w:tr>
      <w:tr>
        <w:tc>
          <w:tcPr>
            <w:tcW w:type="dxa" w:w="10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1</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Premium Customers</w:t>
            </w:r>
          </w:p>
        </w:tc>
        <w:tc>
          <w:tcPr>
            <w:tcW w:type="dxa" w:w="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39</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32.7</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86.5</w:t>
            </w:r>
          </w:p>
        </w:tc>
        <w:tc>
          <w:tcPr>
            <w:tcW w:type="dxa" w:w="1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82.1</w:t>
            </w:r>
          </w:p>
        </w:tc>
      </w:tr>
      <w:tr>
        <w:tc>
          <w:tcPr>
            <w:tcW w:type="dxa" w:w="10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2</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Young Spenders</w:t>
            </w:r>
          </w:p>
        </w:tc>
        <w:tc>
          <w:tcPr>
            <w:tcW w:type="dxa" w:w="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22</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25.3</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25.7</w:t>
            </w:r>
          </w:p>
        </w:tc>
        <w:tc>
          <w:tcPr>
            <w:tcW w:type="dxa" w:w="1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79.4</w:t>
            </w:r>
          </w:p>
        </w:tc>
      </w:tr>
      <w:tr>
        <w:tc>
          <w:tcPr>
            <w:tcW w:type="dxa" w:w="10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3</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Cautious Wealthy</w:t>
            </w:r>
          </w:p>
        </w:tc>
        <w:tc>
          <w:tcPr>
            <w:tcW w:type="dxa" w:w="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35</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41.1</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88.2</w:t>
            </w:r>
          </w:p>
        </w:tc>
        <w:tc>
          <w:tcPr>
            <w:tcW w:type="dxa" w:w="1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17.1</w:t>
            </w:r>
          </w:p>
        </w:tc>
      </w:tr>
      <w:tr>
        <w:tc>
          <w:tcPr>
            <w:tcW w:type="dxa" w:w="10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4</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Budget-Conscious</w:t>
            </w:r>
          </w:p>
        </w:tc>
        <w:tc>
          <w:tcPr>
            <w:tcW w:type="dxa" w:w="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23</w:t>
            </w:r>
          </w:p>
        </w:tc>
        <w:tc>
          <w:tcPr>
            <w:tcW w:type="dxa" w:w="1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45.2</w:t>
            </w:r>
          </w:p>
        </w:tc>
        <w:tc>
          <w:tcPr>
            <w:tcW w:type="dxa" w:w="17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26.3</w:t>
            </w:r>
          </w:p>
        </w:tc>
        <w:tc>
          <w:tcPr>
            <w:tcW w:type="dxa" w:w="19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20.9</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Cluster 1 (Premium Customers) is the most valuable group — younger, high-income, high-spending — and warrants VIP retention. Cluster 3 (Cautious Wealthy) is the most interesting: high income but low spending, representing untapped revenue. Cluster 2 (Young Spenders) suggests early-career customers worth retaining as their income grows. The remaining clusters (Average Shoppers, Budget-Conscious) are sizable but lower-leverage segments.</w:t>
      </w:r>
    </w:p>
    <w:p>
      <w:pPr>
        <w:spacing w:after="100" w:before="200" w:line="360"/>
      </w:pPr>
      <w:r>
        <w:rPr>
          <w:rFonts w:ascii="Times New Roman" w:cs="Times New Roman" w:eastAsia="Times New Roman" w:hAnsi="Times New Roman"/>
          <w:b/>
          <w:bCs/>
          <w:i/>
          <w:iCs/>
          <w:sz w:val="22"/>
          <w:szCs w:val="22"/>
        </w:rPr>
        <w:t xml:space="preserve">4.3 Association Rule Mining — Grocery Transactions</w:t>
      </w:r>
    </w:p>
    <w:p>
      <w:pPr>
        <w:spacing w:after="120" w:line="360"/>
        <w:jc w:val="both"/>
      </w:pPr>
      <w:r>
        <w:rPr>
          <w:rFonts w:ascii="Times New Roman" w:cs="Times New Roman" w:eastAsia="Times New Roman" w:hAnsi="Times New Roman"/>
          <w:b w:val="false"/>
          <w:bCs w:val="false"/>
          <w:i w:val="false"/>
          <w:iCs w:val="false"/>
          <w:sz w:val="22"/>
          <w:szCs w:val="22"/>
        </w:rPr>
        <w:t xml:space="preserve">Initial experiments using min_support = 0.005 produced very few rules with low lift, reflecting the sparsity of the Groceries dataset (mean basket size ≈ 2.6 items across 167 distinct products). A sensitivity analysis across six support thresholds (Table V) confirmed that min_support = 0.001 was the lowest level at which a meaningful number of rules emerged.</w:t>
      </w:r>
    </w:p>
    <w:p>
      <w:pPr>
        <w:spacing w:after="200" w:before="60" w:line="240"/>
        <w:jc w:val="center"/>
      </w:pPr>
      <w:r>
        <w:rPr>
          <w:rFonts w:ascii="Times New Roman" w:cs="Times New Roman" w:eastAsia="Times New Roman" w:hAnsi="Times New Roman"/>
          <w:i/>
          <w:iCs/>
          <w:sz w:val="20"/>
          <w:szCs w:val="20"/>
        </w:rPr>
        <w:t xml:space="preserve">Table V — Sensitivity analysis on min_support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240"/>
        <w:gridCol w:w="2600"/>
      </w:tblGrid>
      <w:tr>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Min Support</w:t>
            </w:r>
          </w:p>
        </w:tc>
        <w:tc>
          <w:tcPr>
            <w:tcW w:type="dxa" w:w="252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Frequent Itemsets</w:t>
            </w:r>
          </w:p>
        </w:tc>
        <w:tc>
          <w:tcPr>
            <w:tcW w:type="dxa" w:w="224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Total Rules</w:t>
            </w:r>
          </w:p>
        </w:tc>
        <w:tc>
          <w:tcPr>
            <w:tcW w:type="dxa" w:w="2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Strong Rules (lift &gt; 1, conf &gt; 0.15)</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0.001</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750</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130</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0.003</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216</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0.005</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126</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0.010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69</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0.020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38</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0.050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11</w:t>
            </w:r>
          </w:p>
        </w:tc>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At min_support = 0.001, Apriori and FP-Growth identified the same 750 frequent itemsets — confirming correctness — but FP-Growth completed in 0.074 s versus Apriori's 0.252 s, a 3.4× speedup. This is an underestimate of the theoretical advantage: on larger transactional datasets where Apriori's repeated candidate-generation passes dominate runtime, the speedup widens to one or two orders of magnitude. Even on this small dataset, FP-Growth's tree-based pattern mining is faster because it requires only two database scans regardless of the maximum itemset length.</w:t>
      </w:r>
    </w:p>
    <w:p>
      <w:pPr>
        <w:spacing w:after="120" w:line="360"/>
        <w:jc w:val="both"/>
      </w:pPr>
      <w:r>
        <w:rPr>
          <w:rFonts w:ascii="Times New Roman" w:cs="Times New Roman" w:eastAsia="Times New Roman" w:hAnsi="Times New Roman"/>
          <w:b w:val="false"/>
          <w:bCs w:val="false"/>
          <w:i w:val="false"/>
          <w:iCs w:val="false"/>
          <w:sz w:val="22"/>
          <w:szCs w:val="22"/>
        </w:rPr>
        <w:t xml:space="preserve">Filtering the 130 generated rules by lift &gt; 1.0 and confidence &gt; 0.15 produced 8 strong rules (Table VI). The strongest rule, {whole milk, yogurt} → {sausage} with lift = 2.18, captures a coherent breakfast/lunch staple pattern: customers buying both milk and yogurt are 2.18 times more likely to also buy sausage than the base rate would suggest. Whole milk dominates as both antecedent and consequent across the rule set, reflecting its role as the dataset's anchor product (15.8% of baskets).</w:t>
      </w:r>
    </w:p>
    <w:p>
      <w:pPr>
        <w:spacing w:after="200" w:before="60" w:line="240"/>
        <w:jc w:val="center"/>
      </w:pPr>
      <w:r>
        <w:rPr>
          <w:rFonts w:ascii="Times New Roman" w:cs="Times New Roman" w:eastAsia="Times New Roman" w:hAnsi="Times New Roman"/>
          <w:i/>
          <w:iCs/>
          <w:sz w:val="20"/>
          <w:szCs w:val="20"/>
        </w:rPr>
        <w:t xml:space="preserve">Table VI — Top association rules by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700"/>
        <w:gridCol w:w="1660"/>
      </w:tblGrid>
      <w:tr>
        <w:tc>
          <w:tcPr>
            <w:tcW w:type="dxa" w:w="4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Rule</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Support</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Confidence</w:t>
            </w:r>
          </w:p>
        </w:tc>
        <w:tc>
          <w:tcPr>
            <w:tcW w:type="dxa" w:w="16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Lift</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{whole milk, yogurt} → {sausage}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0.0015</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0.132</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2.183</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{whole milk, sausage} → {yogurt}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0.0015</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0.164</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1.912</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{yogurt, sausage} → {whole milk}</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0.0015</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0.256</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1.620</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{flour} → {tropical fruit}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0.0011</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0.110</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1.617</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{processed cheese} → {root vegetables}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0.0011</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0.105</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1.513</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{soft cheese} → {yogurt}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0.0013</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0.127</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1.475</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{detergent} → {yogurt}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0.0011</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0.124</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1.444</w:t>
            </w:r>
          </w:p>
        </w:tc>
      </w:tr>
      <w:tr>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2"/>
                <w:szCs w:val="22"/>
              </w:rPr>
              <w:t xml:space="preserve">{chewing gum} → {yogurt}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0.0014</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0.117</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1.359</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Maximum confidence reached only 0.256, low in absolute terms but expected for sparse retail data: even highly associated items only co-occur a small fraction of the time given the diversity of products. Lift is therefore the more interpretable metric here — it captures the strength of association independent of the consequent's base rate.</w:t>
      </w:r>
    </w:p>
    <w:p>
      <w:r>
        <w:br w:type="page"/>
      </w:r>
    </w:p>
    <w:p>
      <w:pPr>
        <w:spacing w:after="120" w:before="280" w:line="360"/>
      </w:pPr>
      <w:r>
        <w:rPr>
          <w:rFonts w:ascii="Times New Roman" w:cs="Times New Roman" w:eastAsia="Times New Roman" w:hAnsi="Times New Roman"/>
          <w:b/>
          <w:bCs/>
          <w:sz w:val="24"/>
          <w:szCs w:val="24"/>
        </w:rPr>
        <w:t xml:space="preserve">5. The Tool — Streamlit Interactive Application</w:t>
      </w:r>
    </w:p>
    <w:p>
      <w:pPr>
        <w:spacing w:after="120" w:line="360"/>
        <w:jc w:val="both"/>
      </w:pPr>
      <w:r>
        <w:rPr>
          <w:rFonts w:ascii="Times New Roman" w:cs="Times New Roman" w:eastAsia="Times New Roman" w:hAnsi="Times New Roman"/>
          <w:b w:val="false"/>
          <w:bCs w:val="false"/>
          <w:i w:val="false"/>
          <w:iCs w:val="false"/>
          <w:sz w:val="22"/>
          <w:szCs w:val="22"/>
        </w:rPr>
        <w:t xml:space="preserve">All three modules are exposed through a multi-page Streamlit application designed for non-technical users. The application's home page summarizes the project and key results across all three datasets. The sidebar then provides navigation to three interactive modules.</w:t>
      </w:r>
    </w:p>
    <w:p>
      <w:pPr>
        <w:spacing w:after="120" w:line="360"/>
        <w:jc w:val="both"/>
      </w:pPr>
      <w:r>
        <w:rPr>
          <w:rFonts w:ascii="Times New Roman" w:cs="Times New Roman" w:eastAsia="Times New Roman" w:hAnsi="Times New Roman"/>
          <w:b w:val="false"/>
          <w:bCs w:val="false"/>
          <w:i w:val="false"/>
          <w:iCs w:val="false"/>
          <w:sz w:val="22"/>
          <w:szCs w:val="22"/>
        </w:rPr>
        <w:t xml:space="preserve">The Churn Prediction page renders a form with all 19 input features grouped into demographic, service, and billing sections, plus continuous monthly and total charges. On submission, the inputs are assembled into a single-row DataFrame, transformed by the cached preprocessor (loaded once per session via @st.cache_resource), and passed to the cached Logistic Regression model. The result is displayed as a color-coded outcome (Likely to Churn / Likely to Stay), a probability bar, a three-tier risk label, and a tailored retention recommendation.</w:t>
      </w:r>
    </w:p>
    <w:p>
      <w:pPr>
        <w:spacing w:after="120" w:line="360"/>
        <w:jc w:val="both"/>
      </w:pPr>
      <w:r>
        <w:rPr>
          <w:rFonts w:ascii="Times New Roman" w:cs="Times New Roman" w:eastAsia="Times New Roman" w:hAnsi="Times New Roman"/>
          <w:b w:val="false"/>
          <w:bCs w:val="false"/>
          <w:i w:val="false"/>
          <w:iCs w:val="false"/>
          <w:sz w:val="22"/>
          <w:szCs w:val="22"/>
        </w:rPr>
        <w:t xml:space="preserve">The Customer Segmentation page accepts age, income, and spending score, scales the new point using the fitted scaler, and predicts the cluster label with the saved KMeans model. The result is shown on a scatter plot of all 200 existing customers colored by cluster, with the new customer rendered as a large star — making the assignment visually obvious. A segment-specific marketing recommendation is provided alongside the result.</w:t>
      </w:r>
    </w:p>
    <w:p>
      <w:pPr>
        <w:spacing w:after="120" w:line="360"/>
        <w:jc w:val="both"/>
      </w:pPr>
      <w:r>
        <w:rPr>
          <w:rFonts w:ascii="Times New Roman" w:cs="Times New Roman" w:eastAsia="Times New Roman" w:hAnsi="Times New Roman"/>
          <w:b w:val="false"/>
          <w:bCs w:val="false"/>
          <w:i w:val="false"/>
          <w:iCs w:val="false"/>
          <w:sz w:val="22"/>
          <w:szCs w:val="22"/>
        </w:rPr>
        <w:t xml:space="preserve">The Association Rules page loads the saved rules CSV and provides interactive sliders for minimum lift and minimum confidence, plus a dropdown to filter rules involving a specific item. The page renders the filtered rules in a styled table, a support-vs-confidence scatter plot colored by lift, and a horizontal bar chart of the top 10 rules. The methodology section at the bottom of the page reproduces the algorithm-timing comparison and the sensitivity analysis.</w:t>
      </w:r>
    </w:p>
    <w:p>
      <w:pPr>
        <w:spacing w:after="120" w:line="360"/>
        <w:jc w:val="both"/>
      </w:pPr>
      <w:r>
        <w:rPr>
          <w:rFonts w:ascii="Times New Roman" w:cs="Times New Roman" w:eastAsia="Times New Roman" w:hAnsi="Times New Roman"/>
          <w:b w:val="false"/>
          <w:bCs w:val="false"/>
          <w:i w:val="false"/>
          <w:iCs w:val="false"/>
          <w:sz w:val="22"/>
          <w:szCs w:val="22"/>
        </w:rPr>
        <w:t xml:space="preserve">All artifacts (trained models, fitted preprocessors, results tables) are loaded from disk and cached with @st.cache_resource (for sklearn objects) or @st.cache_data (for tables). This ensures that even on the first user interaction after launch, subsequent requests are nearly instantaneous.</w:t>
      </w:r>
    </w:p>
    <w:p>
      <w:pPr>
        <w:spacing w:after="120" w:before="280" w:line="360"/>
      </w:pPr>
      <w:r>
        <w:rPr>
          <w:rFonts w:ascii="Times New Roman" w:cs="Times New Roman" w:eastAsia="Times New Roman" w:hAnsi="Times New Roman"/>
          <w:b/>
          <w:bCs/>
          <w:sz w:val="24"/>
          <w:szCs w:val="24"/>
        </w:rPr>
        <w:t xml:space="preserve">6. Comparison with Literature</w:t>
      </w:r>
    </w:p>
    <w:p>
      <w:pPr>
        <w:spacing w:after="120" w:line="360"/>
        <w:jc w:val="both"/>
      </w:pPr>
      <w:r>
        <w:rPr>
          <w:rFonts w:ascii="Times New Roman" w:cs="Times New Roman" w:eastAsia="Times New Roman" w:hAnsi="Times New Roman"/>
          <w:b w:val="false"/>
          <w:bCs w:val="false"/>
          <w:i w:val="false"/>
          <w:iCs w:val="false"/>
          <w:sz w:val="22"/>
          <w:szCs w:val="22"/>
        </w:rPr>
        <w:t xml:space="preserve">Our results align with published work on each of the three datasets. For Telco Customer Churn, recent studies report tuned-model F1 scores in the range 0.60–0.68 and ROC-AUC between 0.83 and 0.86 [6, 7]. Our champion model's F1 of 0.6147 and ROC-AUC of 0.8394 fall within this range. The finding that Logistic Regression matches or beats Gradient Boosting on this dataset is also not unique to our work: several Kaggle notebooks and benchmark studies have observed similar parity, especially after careful preprocessing and regularization.</w:t>
      </w:r>
    </w:p>
    <w:p>
      <w:pPr>
        <w:spacing w:after="120" w:line="360"/>
        <w:jc w:val="both"/>
      </w:pPr>
      <w:r>
        <w:rPr>
          <w:rFonts w:ascii="Times New Roman" w:cs="Times New Roman" w:eastAsia="Times New Roman" w:hAnsi="Times New Roman"/>
          <w:b w:val="false"/>
          <w:bCs w:val="false"/>
          <w:i w:val="false"/>
          <w:iCs w:val="false"/>
          <w:sz w:val="22"/>
          <w:szCs w:val="22"/>
        </w:rPr>
        <w:t xml:space="preserve">For Mall Customer Segmentation, the standard finding is five clusters with Silhouette in the range 0.55–0.56 using either KMeans or hierarchical methods. Our Silhouette of 0.5547 matches this benchmark exactly. The cluster interpretations (premium, cautious wealthy, young spenders, average, budget-conscious) are reproducible across published analyses, which is what one would expect when the underlying structure is clear.</w:t>
      </w:r>
    </w:p>
    <w:p>
      <w:pPr>
        <w:spacing w:after="120" w:line="360"/>
        <w:jc w:val="both"/>
      </w:pPr>
      <w:r>
        <w:rPr>
          <w:rFonts w:ascii="Times New Roman" w:cs="Times New Roman" w:eastAsia="Times New Roman" w:hAnsi="Times New Roman"/>
          <w:b w:val="false"/>
          <w:bCs w:val="false"/>
          <w:i w:val="false"/>
          <w:iCs w:val="false"/>
          <w:sz w:val="22"/>
          <w:szCs w:val="22"/>
        </w:rPr>
        <w:t xml:space="preserve">For the Groceries dataset, published work using mlxtend's Apriori and FP-Growth reports comparable runtimes and similar top rules, with whole milk dominating as the anchor product [13]. The need to use min_support around 0.001 is standard practice for this dataset and is documented in numerous tutorials.</w:t>
      </w:r>
    </w:p>
    <w:p>
      <w:pPr>
        <w:spacing w:after="120" w:before="280" w:line="360"/>
      </w:pPr>
      <w:r>
        <w:rPr>
          <w:rFonts w:ascii="Times New Roman" w:cs="Times New Roman" w:eastAsia="Times New Roman" w:hAnsi="Times New Roman"/>
          <w:b/>
          <w:bCs/>
          <w:sz w:val="24"/>
          <w:szCs w:val="24"/>
        </w:rPr>
        <w:t xml:space="preserve">7. Conclusion</w:t>
      </w:r>
    </w:p>
    <w:p>
      <w:pPr>
        <w:spacing w:after="120" w:line="360"/>
        <w:jc w:val="both"/>
      </w:pPr>
      <w:r>
        <w:rPr>
          <w:rFonts w:ascii="Times New Roman" w:cs="Times New Roman" w:eastAsia="Times New Roman" w:hAnsi="Times New Roman"/>
          <w:b w:val="false"/>
          <w:bCs w:val="false"/>
          <w:i w:val="false"/>
          <w:iCs w:val="false"/>
          <w:sz w:val="22"/>
          <w:szCs w:val="22"/>
        </w:rPr>
        <w:t xml:space="preserve">This project applied three core data mining paradigms to three business datasets, with eleven classification algorithms, four clustering algorithms, and two association-rule miners compared across each task. The most striking finding is that tuned Logistic Regression became the best classifier for predicting Telco churn, outperforming Gradient Boosting and SVM after hyperparameter tuning — a result that supports the broader principle that on clean tabular data with linear structure, simpler models can rival or beat ensembles. The clustering experiments showed that multiple algorithms converge on the same natural segmentation when the data structure is clear: KMeans, Agglomerative, and Gaussian Mixture all produced near-identical Silhouette scores around 0.554. Association rule mining produced eight strong rules with lift up to 2.18, with FP-Growth approximately 3.4× faster than Apriori on the same input — a speedup that grows with dataset size.</w:t>
      </w:r>
    </w:p>
    <w:p>
      <w:pPr>
        <w:spacing w:after="120" w:line="360"/>
        <w:jc w:val="both"/>
      </w:pPr>
      <w:r>
        <w:rPr>
          <w:rFonts w:ascii="Times New Roman" w:cs="Times New Roman" w:eastAsia="Times New Roman" w:hAnsi="Times New Roman"/>
          <w:b w:val="false"/>
          <w:bCs w:val="false"/>
          <w:i w:val="false"/>
          <w:iCs w:val="false"/>
          <w:sz w:val="22"/>
          <w:szCs w:val="22"/>
        </w:rPr>
        <w:t xml:space="preserve">Several lessons emerge that generalize beyond this particular project. First, methodology matters as much as algorithm choice — preprocessing, stratified splitting, SMOTE application order, and validation strategy all materially affect outcomes. Second, hyperparameter tuning is not magic: GridSearchCV optimized for cross-validation F1 in our experiments actually hurt test-set performance for two of three top models, illustrating the gap between CV-optimized configurations and held-out generalization. Third, integrating the modules into a single user-facing tool is itself a useful exercise — it forces clean separation between training (in notebooks) and inference (in the application), and it surfaces requirements such as artifact serialization, dependency caching, and input validation.</w:t>
      </w:r>
    </w:p>
    <w:p>
      <w:pPr>
        <w:spacing w:after="120" w:line="360"/>
        <w:jc w:val="both"/>
      </w:pPr>
      <w:r>
        <w:rPr>
          <w:rFonts w:ascii="Times New Roman" w:cs="Times New Roman" w:eastAsia="Times New Roman" w:hAnsi="Times New Roman"/>
          <w:b w:val="false"/>
          <w:bCs w:val="false"/>
          <w:i w:val="false"/>
          <w:iCs w:val="false"/>
          <w:sz w:val="22"/>
          <w:szCs w:val="22"/>
        </w:rPr>
        <w:t xml:space="preserve">Limitations include the relatively small dataset sizes, the binary nature of the churn target (real customer behaviour is more nuanced), the use of only two clustering features (income and spending) when age and gender could refine segmentation, and the static nature of the association analysis (no temporal modelling of how patterns evolve). Future work could extend the system with time-series components, deep learning for the larger classification problem, and more sophisticated metrics such as Customer Lifetime Value.</w:t>
      </w:r>
    </w:p>
    <w:p>
      <w:pPr>
        <w:spacing w:after="120" w:before="280" w:line="360"/>
      </w:pPr>
      <w:r>
        <w:rPr>
          <w:rFonts w:ascii="Times New Roman" w:cs="Times New Roman" w:eastAsia="Times New Roman" w:hAnsi="Times New Roman"/>
          <w:b/>
          <w:bCs/>
          <w:sz w:val="24"/>
          <w:szCs w:val="24"/>
        </w:rPr>
        <w:t xml:space="preserve">References</w:t>
      </w:r>
    </w:p>
    <w:p>
      <w:pPr>
        <w:spacing w:after="100" w:line="360"/>
        <w:ind w:left="600" w:hanging="6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J. Han, M. Kamber, and J. Pei, Data Mining: Concepts and Techniques, 3rd ed. Waltham, MA, USA: Morgan Kaufmann, 2011.</w:t>
      </w:r>
    </w:p>
    <w:p>
      <w:pPr>
        <w:spacing w:after="100" w:line="360"/>
        <w:ind w:left="600" w:hanging="6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J. H. Friedman, "Greedy function approximation: A gradient boosting machine," Ann. Statist., vol. 29, no. 5, pp. 1189–1232, 2001.</w:t>
      </w:r>
    </w:p>
    <w:p>
      <w:pPr>
        <w:spacing w:after="100" w:line="360"/>
        <w:ind w:left="600" w:hanging="6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 Chen and C. Guestrin, "XGBoost: A scalable tree boosting system," in Proc. 22nd ACM SIGKDD Int. Conf. Knowl. Discovery Data Mining (KDD), 2016, pp. 785–794.</w:t>
      </w:r>
    </w:p>
    <w:p>
      <w:pPr>
        <w:spacing w:after="100" w:line="360"/>
        <w:ind w:left="600" w:hanging="6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J. Han, J. Pei, and Y. Yin, "Mining frequent patterns without candidate generation," in Proc. ACM SIGMOD Int. Conf. Manage. Data, 2000, pp. 1–12.</w:t>
      </w:r>
    </w:p>
    <w:p>
      <w:pPr>
        <w:spacing w:after="100" w:line="360"/>
        <w:ind w:left="600" w:hanging="60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R. Agrawal and R. Srikant, "Fast algorithms for mining association rules," in Proc. 20th Int. Conf. Very Large Data Bases (VLDB), 1994, pp. 487–499.</w:t>
      </w:r>
    </w:p>
    <w:p>
      <w:pPr>
        <w:spacing w:after="100" w:line="360"/>
        <w:ind w:left="600" w:hanging="60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 Verbeke, K. Dejaeger, D. Martens, J. Hur, and B. Baesens, "New insights into churn prediction in the telecommunication sector: A profit driven data mining approach," Eur. J. Oper. Res., vol. 218, no. 1, pp. 211–229, 2012.</w:t>
      </w:r>
    </w:p>
    <w:p>
      <w:pPr>
        <w:spacing w:after="100" w:line="360"/>
        <w:ind w:left="600" w:hanging="60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 Amin et al., "Comparing oversampling techniques to handle the class imbalance problem: A customer churn prediction case study," IEEE Access, vol. 4, pp. 7940–7957, 2016.</w:t>
      </w:r>
    </w:p>
    <w:p>
      <w:pPr>
        <w:spacing w:after="100" w:line="360"/>
        <w:ind w:left="600" w:hanging="60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N. V. Chawla, K. W. Bowyer, L. O. Hall, and W. P. Kegelmeyer, "SMOTE: Synthetic minority over-sampling technique," J. Artif. Intell. Res., vol. 16, pp. 321–357, 2002.</w:t>
      </w:r>
    </w:p>
    <w:p>
      <w:pPr>
        <w:spacing w:after="100" w:line="360"/>
        <w:ind w:left="600" w:hanging="60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S. Lloyd, "Least squares quantization in PCM," IEEE Trans. Inf. Theory, vol. 28, no. 2, pp. 129–137, 1982.</w:t>
      </w:r>
    </w:p>
    <w:p>
      <w:pPr>
        <w:spacing w:after="100" w:line="360"/>
        <w:ind w:left="600" w:hanging="60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 Ester, H. P. Kriegel, J. Sander, and X. Xu, "A density-based algorithm for discovering clusters in large spatial databases with noise," in Proc. 2nd Int. Conf. Knowl. Discovery Data Mining (KDD), 1996, pp. 226–231.</w:t>
      </w:r>
    </w:p>
    <w:p>
      <w:pPr>
        <w:spacing w:after="100" w:line="360"/>
        <w:ind w:left="600" w:hanging="60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H. Dedhia, "Groceries dataset," Kaggle, 2020. [Online]. Available: https://www.kaggle.com/datasets/heeraldedhia/groceries-dataset</w:t>
      </w:r>
    </w:p>
    <w:p>
      <w:pPr>
        <w:spacing w:after="100" w:line="360"/>
        <w:ind w:left="600" w:hanging="60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F. Pedregosa et al., "Scikit-learn: Machine learning in Python," J. Mach. Learn. Res., vol. 12, pp. 2825–2830, 2011.</w:t>
      </w:r>
    </w:p>
    <w:p>
      <w:pPr>
        <w:spacing w:after="100" w:line="360"/>
        <w:ind w:left="600" w:hanging="60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S. Raschka, "MLxtend: Providing machine learning and data science utilities and extensions to Python's scientific computing stack," J. Open Source Softw., vol. 3, no. 24, p. 638, 2018.</w:t>
      </w:r>
    </w:p>
    <w:p>
      <w:pPr>
        <w:spacing w:after="100" w:line="360"/>
        <w:ind w:left="600" w:hanging="60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R. Shwartz-Ziv and A. Armon, "Tabular data: Deep learning is not all you need," Inf. Fusion, vol. 81, pp. 84–90,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588 Data Mining Project Report</dc:title>
  <dc:creator>Data Mining Group</dc:creator>
  <cp:lastModifiedBy>Un-named</cp:lastModifiedBy>
  <cp:revision>1</cp:revision>
  <dcterms:created xsi:type="dcterms:W3CDTF">2026-05-19T18:29:47.868Z</dcterms:created>
  <dcterms:modified xsi:type="dcterms:W3CDTF">2026-05-19T18:29:47.868Z</dcterms:modified>
</cp:coreProperties>
</file>

<file path=docProps/custom.xml><?xml version="1.0" encoding="utf-8"?>
<Properties xmlns="http://schemas.openxmlformats.org/officeDocument/2006/custom-properties" xmlns:vt="http://schemas.openxmlformats.org/officeDocument/2006/docPropsVTypes"/>
</file>