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Матвей</w:t>
      </w:r>
      <w:r>
        <w:t xml:space="preserve"> </w:t>
      </w:r>
      <w:r>
        <w:t xml:space="preserve">Эдуадович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возможно-</w:t>
      </w:r>
      <w:r>
        <w:t xml:space="preserve"> </w:t>
      </w:r>
      <w:r>
        <w:t xml:space="preserve">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1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Cоздаём каталог lab10, в нём создаём файл lab10-1.asm(рис. 1):</w:t>
      </w:r>
    </w:p>
    <w:p>
      <w:pPr>
        <w:pStyle w:val="CaptionedFigure"/>
      </w:pPr>
      <w:bookmarkStart w:id="26" w:name="fig:fig01"/>
      <w:r>
        <w:drawing>
          <wp:inline>
            <wp:extent cx="5334000" cy="1052448"/>
            <wp:effectExtent b="0" l="0" r="0" t="0"/>
            <wp:docPr descr="Рис. 1: Создание каталога lab10 и файла lab10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lab10 и файла lab10-1.asm</w:t>
      </w:r>
    </w:p>
    <w:p>
      <w:pPr>
        <w:numPr>
          <w:ilvl w:val="0"/>
          <w:numId w:val="1002"/>
        </w:numPr>
        <w:pStyle w:val="Compact"/>
      </w:pPr>
      <w:r>
        <w:t xml:space="preserve">Переносим в файл программу вычисления функции из листинга №1(рис. 2):</w:t>
      </w:r>
    </w:p>
    <w:p>
      <w:pPr>
        <w:pStyle w:val="CaptionedFigure"/>
      </w:pPr>
      <w:bookmarkStart w:id="30" w:name="fig:fig02"/>
      <w:r>
        <w:drawing>
          <wp:inline>
            <wp:extent cx="5334000" cy="7447471"/>
            <wp:effectExtent b="0" l="0" r="0" t="0"/>
            <wp:docPr descr="Рис. 2: Текст программы №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 №1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файл, проверяем работу. Видим ошибку из-за неправильного названия переменных (res,rez,resz).(рис. 3):</w:t>
      </w:r>
    </w:p>
    <w:p>
      <w:pPr>
        <w:pStyle w:val="CaptionedFigure"/>
      </w:pPr>
      <w:bookmarkStart w:id="34" w:name="fig:fig03"/>
      <w:r>
        <w:drawing>
          <wp:inline>
            <wp:extent cx="5334000" cy="739448"/>
            <wp:effectExtent b="0" l="0" r="0" t="0"/>
            <wp:docPr descr="Рис. 3: Ошибка при создании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Ошибка при создании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Исправляем код программы(рис. 4):</w:t>
      </w:r>
    </w:p>
    <w:p>
      <w:pPr>
        <w:pStyle w:val="CaptionedFigure"/>
      </w:pPr>
      <w:bookmarkStart w:id="38" w:name="fig:fig04"/>
      <w:r>
        <w:drawing>
          <wp:inline>
            <wp:extent cx="4064000" cy="8839200"/>
            <wp:effectExtent b="0" l="0" r="0" t="0"/>
            <wp:docPr descr="Рис. 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Создаём исполняемый файл, проверяем работу(рис. 5):</w:t>
      </w:r>
    </w:p>
    <w:p>
      <w:pPr>
        <w:pStyle w:val="CaptionedFigure"/>
      </w:pPr>
      <w:bookmarkStart w:id="42" w:name="fig:fig05"/>
      <w:r>
        <w:drawing>
          <wp:inline>
            <wp:extent cx="5334000" cy="1059027"/>
            <wp:effectExtent b="0" l="0" r="0" t="0"/>
            <wp:docPr descr="Рис. 5: Результат выполнения исправл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выполнения исправленной программы</w:t>
      </w:r>
    </w:p>
    <w:p>
      <w:pPr>
        <w:numPr>
          <w:ilvl w:val="0"/>
          <w:numId w:val="1006"/>
        </w:numPr>
        <w:pStyle w:val="Compact"/>
      </w:pPr>
      <w:r>
        <w:t xml:space="preserve">Снова меняем программу, добавляя подпрограмму *_subcalcul*, тоже вычисляющую функцию(рис. 6):</w:t>
      </w:r>
    </w:p>
    <w:p>
      <w:pPr>
        <w:pStyle w:val="CaptionedFigure"/>
      </w:pPr>
      <w:bookmarkStart w:id="46" w:name="fig:fig06"/>
      <w:r>
        <w:drawing>
          <wp:inline>
            <wp:extent cx="5334000" cy="3941495"/>
            <wp:effectExtent b="0" l="0" r="0" t="0"/>
            <wp:docPr descr="Рис. 6: Новое изменение программы. Добавление подпрограммы _subcalcul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Новое изменение программы. Добавление подпрограммы _subcalcul</w:t>
      </w:r>
    </w:p>
    <w:p>
      <w:pPr>
        <w:numPr>
          <w:ilvl w:val="0"/>
          <w:numId w:val="1007"/>
        </w:numPr>
        <w:pStyle w:val="Compact"/>
      </w:pPr>
      <w:r>
        <w:t xml:space="preserve">Создаём исполняемый файл, проверяем работу(рис. 7)</w:t>
      </w:r>
    </w:p>
    <w:p>
      <w:pPr>
        <w:pStyle w:val="CaptionedFigure"/>
      </w:pPr>
      <w:bookmarkStart w:id="50" w:name="fig:fig07"/>
      <w:r>
        <w:drawing>
          <wp:inline>
            <wp:extent cx="5334000" cy="1583683"/>
            <wp:effectExtent b="0" l="0" r="0" t="0"/>
            <wp:docPr descr="Рис. 7: Результат работы программы с подпрограммой _subcalcu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 работы программы с подпрограммой _subcalcul</w:t>
      </w:r>
    </w:p>
    <w:p>
      <w:pPr>
        <w:numPr>
          <w:ilvl w:val="0"/>
          <w:numId w:val="1008"/>
        </w:numPr>
        <w:pStyle w:val="Compact"/>
      </w:pPr>
      <w:r>
        <w:t xml:space="preserve">Создаём файл lab10-2.asm и переносим предложенную программу из листинга №2 (рис. 8)</w:t>
      </w:r>
    </w:p>
    <w:p>
      <w:pPr>
        <w:pStyle w:val="CaptionedFigure"/>
      </w:pPr>
      <w:bookmarkStart w:id="54" w:name="fig:fig08"/>
      <w:r>
        <w:drawing>
          <wp:inline>
            <wp:extent cx="5334000" cy="5139328"/>
            <wp:effectExtent b="0" l="0" r="0" t="0"/>
            <wp:docPr descr="Рис. 8: Программа №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№2</w:t>
      </w:r>
    </w:p>
    <w:p>
      <w:pPr>
        <w:numPr>
          <w:ilvl w:val="0"/>
          <w:numId w:val="1009"/>
        </w:numPr>
        <w:pStyle w:val="Compact"/>
      </w:pPr>
      <w:r>
        <w:t xml:space="preserve">Создаём исполняемый файл и файл листинга с ключом -g. Загружаем исполняемый файл в отладчик GDB(рис. 9)</w:t>
      </w:r>
    </w:p>
    <w:p>
      <w:pPr>
        <w:pStyle w:val="CaptionedFigure"/>
      </w:pPr>
      <w:bookmarkStart w:id="58" w:name="fig:fig09"/>
      <w:r>
        <w:drawing>
          <wp:inline>
            <wp:extent cx="5334000" cy="3035004"/>
            <wp:effectExtent b="0" l="0" r="0" t="0"/>
            <wp:docPr descr="Рис. 9: Создание исполняемого файла. Его загрузка в отладчик GDB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исполняемого файла. Его загрузка в отладчик GDB</w:t>
      </w:r>
    </w:p>
    <w:p>
      <w:pPr>
        <w:numPr>
          <w:ilvl w:val="0"/>
          <w:numId w:val="1010"/>
        </w:numPr>
        <w:pStyle w:val="Compact"/>
      </w:pPr>
      <w:r>
        <w:t xml:space="preserve">Запускаем программу в оболочке GDB с помощью команды</w:t>
      </w:r>
      <w:r>
        <w:t xml:space="preserve"> </w:t>
      </w:r>
      <w:r>
        <w:rPr>
          <w:iCs/>
          <w:i/>
        </w:rPr>
        <w:t xml:space="preserve">run</w:t>
      </w:r>
      <w:r>
        <w:t xml:space="preserve">(рис. 10):</w:t>
      </w:r>
    </w:p>
    <w:p>
      <w:pPr>
        <w:pStyle w:val="CaptionedFigure"/>
      </w:pPr>
      <w:bookmarkStart w:id="62" w:name="fig:fig10"/>
      <w:r>
        <w:drawing>
          <wp:inline>
            <wp:extent cx="5334000" cy="1714794"/>
            <wp:effectExtent b="0" l="0" r="0" t="0"/>
            <wp:docPr descr="Рис. 10: Запуск программы в оболочке GDB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программы в оболочке GDB</w:t>
      </w:r>
    </w:p>
    <w:p>
      <w:pPr>
        <w:numPr>
          <w:ilvl w:val="0"/>
          <w:numId w:val="1011"/>
        </w:numPr>
        <w:pStyle w:val="Compact"/>
      </w:pPr>
      <w:r>
        <w:t xml:space="preserve">Устанавливаем брейкпоинт на метку _start. Запускаем программу (рис. 11):</w:t>
      </w:r>
    </w:p>
    <w:p>
      <w:pPr>
        <w:pStyle w:val="CaptionedFigure"/>
      </w:pPr>
      <w:bookmarkStart w:id="66" w:name="fig:fig11"/>
      <w:r>
        <w:drawing>
          <wp:inline>
            <wp:extent cx="5334000" cy="1263747"/>
            <wp:effectExtent b="0" l="0" r="0" t="0"/>
            <wp:docPr descr="Рис. 11: Установки точки останова на метку _start. Запуск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Установки точки останова на метку _start. Запуск программы</w:t>
      </w:r>
    </w:p>
    <w:p>
      <w:pPr>
        <w:numPr>
          <w:ilvl w:val="0"/>
          <w:numId w:val="1012"/>
        </w:numPr>
        <w:pStyle w:val="Compact"/>
      </w:pPr>
      <w:r>
        <w:t xml:space="preserve">Смотрим дисассимилированный код программы с помощью команды</w:t>
      </w:r>
      <w:r>
        <w:t xml:space="preserve"> </w:t>
      </w:r>
      <w:r>
        <w:rPr>
          <w:iCs/>
          <w:i/>
        </w:rPr>
        <w:t xml:space="preserve">disassemble</w:t>
      </w:r>
      <w:r>
        <w:t xml:space="preserve"> </w:t>
      </w:r>
      <w:r>
        <w:t xml:space="preserve">начиная с метки _start (рис. 12):</w:t>
      </w:r>
    </w:p>
    <w:p>
      <w:pPr>
        <w:pStyle w:val="CaptionedFigure"/>
      </w:pPr>
      <w:bookmarkStart w:id="70" w:name="fig:fig12"/>
      <w:r>
        <w:drawing>
          <wp:inline>
            <wp:extent cx="5334000" cy="2548841"/>
            <wp:effectExtent b="0" l="0" r="0" t="0"/>
            <wp:docPr descr="Рис. 12: Дисассимилированный код программы с помощью команды disassemble начиная с метки _star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Дисассимилированный код программы с помощью команды</w:t>
      </w:r>
      <w:r>
        <w:t xml:space="preserve"> </w:t>
      </w:r>
      <w:r>
        <w:rPr>
          <w:iCs/>
          <w:i/>
        </w:rPr>
        <w:t xml:space="preserve">disassemble</w:t>
      </w:r>
      <w:r>
        <w:t xml:space="preserve"> </w:t>
      </w:r>
      <w:r>
        <w:t xml:space="preserve">начиная с метки _start</w:t>
      </w:r>
    </w:p>
    <w:p>
      <w:pPr>
        <w:numPr>
          <w:ilvl w:val="0"/>
          <w:numId w:val="1013"/>
        </w:numPr>
        <w:pStyle w:val="Compact"/>
      </w:pPr>
      <w:r>
        <w:t xml:space="preserve">Переключаемся на Intel’овский синтаксис с помощью команды</w:t>
      </w:r>
      <w:r>
        <w:t xml:space="preserve"> </w:t>
      </w:r>
      <w:r>
        <w:rPr>
          <w:iCs/>
          <w:i/>
        </w:rPr>
        <w:t xml:space="preserve">set disassebly-flavor intel</w:t>
      </w:r>
      <w:r>
        <w:t xml:space="preserve">. Снова смотрим дисассимилированный код. Видно что в режиме ATT сначала идут переменные, после основные регистры. А в режиме Intel наоборот (рис. 13):</w:t>
      </w:r>
    </w:p>
    <w:p>
      <w:pPr>
        <w:pStyle w:val="CaptionedFigure"/>
      </w:pPr>
      <w:bookmarkStart w:id="74" w:name="fig:fig13"/>
      <w:r>
        <w:drawing>
          <wp:inline>
            <wp:extent cx="5334000" cy="2717639"/>
            <wp:effectExtent b="0" l="0" r="0" t="0"/>
            <wp:docPr descr="Рис. 13: Дисассимилированный код. Отображение Intel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Дисассимилированный код. Отображение Intel</w:t>
      </w:r>
    </w:p>
    <w:p>
      <w:pPr>
        <w:numPr>
          <w:ilvl w:val="0"/>
          <w:numId w:val="1014"/>
        </w:numPr>
        <w:pStyle w:val="Compact"/>
      </w:pPr>
      <w:r>
        <w:t xml:space="preserve">Включаем режим псевдографики(рис. 14):</w:t>
      </w:r>
    </w:p>
    <w:p>
      <w:pPr>
        <w:pStyle w:val="CaptionedFigure"/>
      </w:pPr>
      <w:bookmarkStart w:id="78" w:name="fig:fig14"/>
      <w:r>
        <w:drawing>
          <wp:inline>
            <wp:extent cx="5334000" cy="3601083"/>
            <wp:effectExtent b="0" l="0" r="0" t="0"/>
            <wp:docPr descr="Рис. 14: Включение режим псевдографики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Включение режим псевдографики</w:t>
      </w:r>
    </w:p>
    <w:p>
      <w:pPr>
        <w:numPr>
          <w:ilvl w:val="0"/>
          <w:numId w:val="1015"/>
        </w:numPr>
        <w:pStyle w:val="Compact"/>
      </w:pPr>
      <w:r>
        <w:t xml:space="preserve">Проверяем, установлена ли точка останова с помощью команды</w:t>
      </w:r>
      <w:r>
        <w:t xml:space="preserve"> </w:t>
      </w:r>
      <w:r>
        <w:rPr>
          <w:iCs/>
          <w:i/>
        </w:rPr>
        <w:t xml:space="preserve">i b</w:t>
      </w:r>
      <w:r>
        <w:t xml:space="preserve"> </w:t>
      </w:r>
      <w:r>
        <w:t xml:space="preserve">(рис. 15):</w:t>
      </w:r>
    </w:p>
    <w:p>
      <w:pPr>
        <w:pStyle w:val="CaptionedFigure"/>
      </w:pPr>
      <w:bookmarkStart w:id="82" w:name="fig:fig15"/>
      <w:r>
        <w:drawing>
          <wp:inline>
            <wp:extent cx="5334000" cy="1312728"/>
            <wp:effectExtent b="0" l="0" r="0" t="0"/>
            <wp:docPr descr="Рис. 15: Проверка установленных точек останов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Проверка установленных точек останова</w:t>
      </w:r>
    </w:p>
    <w:p>
      <w:pPr>
        <w:numPr>
          <w:ilvl w:val="0"/>
          <w:numId w:val="1016"/>
        </w:numPr>
        <w:pStyle w:val="Compact"/>
      </w:pPr>
      <w:r>
        <w:t xml:space="preserve">Устанавливаем ещё одну точку останова по адресу инструкции mov eax,0x0. Смотрим все установленный breakpoints(рис. 16):</w:t>
      </w:r>
    </w:p>
    <w:p>
      <w:pPr>
        <w:pStyle w:val="CaptionedFigure"/>
      </w:pPr>
      <w:bookmarkStart w:id="86" w:name="fig:fig16"/>
      <w:r>
        <w:drawing>
          <wp:inline>
            <wp:extent cx="5334000" cy="1190022"/>
            <wp:effectExtent b="0" l="0" r="0" t="0"/>
            <wp:docPr descr="Рис. 16: Установка второй точки останова. Просмотр информации о точках останов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Установка второй точки останова. Просмотр информации о точках останова</w:t>
      </w:r>
    </w:p>
    <w:p>
      <w:pPr>
        <w:numPr>
          <w:ilvl w:val="0"/>
          <w:numId w:val="1017"/>
        </w:numPr>
        <w:pStyle w:val="Compact"/>
      </w:pPr>
      <w:r>
        <w:t xml:space="preserve">Смотрим содержание регистров с помощью команды</w:t>
      </w:r>
      <w:r>
        <w:t xml:space="preserve"> </w:t>
      </w:r>
      <w:r>
        <w:rPr>
          <w:iCs/>
          <w:i/>
        </w:rPr>
        <w:t xml:space="preserve">i r</w:t>
      </w:r>
      <w:r>
        <w:t xml:space="preserve"> </w:t>
      </w:r>
      <w:r>
        <w:t xml:space="preserve">(рис. 17):</w:t>
      </w:r>
    </w:p>
    <w:p>
      <w:pPr>
        <w:pStyle w:val="CaptionedFigure"/>
      </w:pPr>
      <w:bookmarkStart w:id="90" w:name="fig:fig17"/>
      <w:r>
        <w:drawing>
          <wp:inline>
            <wp:extent cx="5334000" cy="1190022"/>
            <wp:effectExtent b="0" l="0" r="0" t="0"/>
            <wp:docPr descr="Рис. 17: Содержание регистров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Содержание регистров</w:t>
      </w:r>
    </w:p>
    <w:p>
      <w:pPr>
        <w:numPr>
          <w:ilvl w:val="0"/>
          <w:numId w:val="1018"/>
        </w:numPr>
        <w:pStyle w:val="Compact"/>
      </w:pPr>
      <w:r>
        <w:t xml:space="preserve">Смотрим содержание регистров после выполнения 5 инструкций с помощью команды</w:t>
      </w:r>
      <w:r>
        <w:t xml:space="preserve"> </w:t>
      </w:r>
      <w:r>
        <w:rPr>
          <w:iCs/>
          <w:i/>
        </w:rPr>
        <w:t xml:space="preserve">si 5</w:t>
      </w:r>
      <w:r>
        <w:t xml:space="preserve">. Видим, что изменились некоторые регистры. (рис. 18):</w:t>
      </w:r>
    </w:p>
    <w:p>
      <w:pPr>
        <w:pStyle w:val="CaptionedFigure"/>
      </w:pPr>
      <w:bookmarkStart w:id="94" w:name="fig:fig18"/>
      <w:r>
        <w:drawing>
          <wp:inline>
            <wp:extent cx="5334000" cy="1509622"/>
            <wp:effectExtent b="0" l="0" r="0" t="0"/>
            <wp:docPr descr="Рис. 18: Содержание регистров после выполнения команды si 5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Содержание регистров после выполнения команды</w:t>
      </w:r>
      <w:r>
        <w:t xml:space="preserve"> </w:t>
      </w:r>
      <w:r>
        <w:rPr>
          <w:iCs/>
          <w:i/>
        </w:rPr>
        <w:t xml:space="preserve">si 5</w:t>
      </w:r>
    </w:p>
    <w:p>
      <w:pPr>
        <w:numPr>
          <w:ilvl w:val="0"/>
          <w:numId w:val="1019"/>
        </w:numPr>
        <w:pStyle w:val="Compact"/>
      </w:pPr>
      <w:r>
        <w:t xml:space="preserve">Смотрим значение переменной msg1 по имени (рис. 19):</w:t>
      </w:r>
    </w:p>
    <w:p>
      <w:pPr>
        <w:pStyle w:val="CaptionedFigure"/>
      </w:pPr>
      <w:bookmarkStart w:id="98" w:name="fig:fig19"/>
      <w:r>
        <w:drawing>
          <wp:inline>
            <wp:extent cx="5334000" cy="493269"/>
            <wp:effectExtent b="0" l="0" r="0" t="0"/>
            <wp:docPr descr="Рис. 19: Значение переменной msg1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Значение переменной msg1</w:t>
      </w:r>
    </w:p>
    <w:p>
      <w:pPr>
        <w:numPr>
          <w:ilvl w:val="0"/>
          <w:numId w:val="1020"/>
        </w:numPr>
        <w:pStyle w:val="Compact"/>
      </w:pPr>
      <w:r>
        <w:t xml:space="preserve">Смотрим значение переменной msg2 по адресу(рис. 20):</w:t>
      </w:r>
    </w:p>
    <w:p>
      <w:pPr>
        <w:pStyle w:val="CaptionedFigure"/>
      </w:pPr>
      <w:bookmarkStart w:id="102" w:name="fig:fig20"/>
      <w:r>
        <w:drawing>
          <wp:inline>
            <wp:extent cx="5334000" cy="2709603"/>
            <wp:effectExtent b="0" l="0" r="0" t="0"/>
            <wp:docPr descr="Рис. 20: Значение переменной msg2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Значение переменной msg2</w:t>
      </w:r>
    </w:p>
    <w:p>
      <w:pPr>
        <w:numPr>
          <w:ilvl w:val="0"/>
          <w:numId w:val="1021"/>
        </w:numPr>
        <w:pStyle w:val="Compact"/>
      </w:pPr>
      <w:r>
        <w:t xml:space="preserve">Изменяем первый символ переменной msg1 с помощью команды</w:t>
      </w:r>
      <w:r>
        <w:t xml:space="preserve"> </w:t>
      </w:r>
      <w:r>
        <w:rPr>
          <w:iCs/>
          <w:i/>
        </w:rPr>
        <w:t xml:space="preserve">set</w:t>
      </w:r>
      <w:r>
        <w:t xml:space="preserve">. Смотрим получившийся результат (рис. 21):</w:t>
      </w:r>
    </w:p>
    <w:p>
      <w:pPr>
        <w:pStyle w:val="CaptionedFigure"/>
      </w:pPr>
      <w:bookmarkStart w:id="106" w:name="fig:fig21"/>
      <w:r>
        <w:drawing>
          <wp:inline>
            <wp:extent cx="5334000" cy="678263"/>
            <wp:effectExtent b="0" l="0" r="0" t="0"/>
            <wp:docPr descr="Рис. 21: Изменение первого символа строки msg1. Результат изменения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Изменение первого символа строки msg1. Результат изменения</w:t>
      </w:r>
    </w:p>
    <w:p>
      <w:pPr>
        <w:numPr>
          <w:ilvl w:val="0"/>
          <w:numId w:val="1022"/>
        </w:numPr>
        <w:pStyle w:val="Compact"/>
      </w:pPr>
      <w:r>
        <w:t xml:space="preserve">Так же меняем первый символ переменной msg2. Смотрим результат (рис. 22)</w:t>
      </w:r>
    </w:p>
    <w:p>
      <w:pPr>
        <w:pStyle w:val="CaptionedFigure"/>
      </w:pPr>
      <w:bookmarkStart w:id="110" w:name="fig:fig22"/>
      <w:r>
        <w:drawing>
          <wp:inline>
            <wp:extent cx="5334000" cy="678263"/>
            <wp:effectExtent b="0" l="0" r="0" t="0"/>
            <wp:docPr descr="Рис. 22: Изменение первого символа строки msg2. Результат изменения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Изменение первого символа строки msg2. Результат изменения</w:t>
      </w:r>
    </w:p>
    <w:p>
      <w:pPr>
        <w:numPr>
          <w:ilvl w:val="0"/>
          <w:numId w:val="1023"/>
        </w:numPr>
        <w:pStyle w:val="Compact"/>
      </w:pPr>
      <w:r>
        <w:t xml:space="preserve">Выводим в шестнадцатеричном, в двоичном, в символьном форматах значение регистра edx (рис. 23)</w:t>
      </w:r>
    </w:p>
    <w:p>
      <w:pPr>
        <w:pStyle w:val="CaptionedFigure"/>
      </w:pPr>
      <w:bookmarkStart w:id="114" w:name="fig:fig23"/>
      <w:r>
        <w:drawing>
          <wp:inline>
            <wp:extent cx="5334000" cy="1100400"/>
            <wp:effectExtent b="0" l="0" r="0" t="0"/>
            <wp:docPr descr="Рис. 23: Значение регистра edx в разных форматах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23: Значение регистра edx в разных форматах</w:t>
      </w:r>
    </w:p>
    <w:p>
      <w:pPr>
        <w:numPr>
          <w:ilvl w:val="0"/>
          <w:numId w:val="1024"/>
        </w:numPr>
        <w:pStyle w:val="Compact"/>
      </w:pPr>
      <w:r>
        <w:t xml:space="preserve">Изменяем значение регистра ebx на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set</w:t>
      </w:r>
      <w:r>
        <w:t xml:space="preserve"> </w:t>
      </w:r>
      <w:r>
        <w:t xml:space="preserve">(рис. 24)</w:t>
      </w:r>
    </w:p>
    <w:p>
      <w:pPr>
        <w:pStyle w:val="CaptionedFigure"/>
      </w:pPr>
      <w:bookmarkStart w:id="118" w:name="fig:fig24"/>
      <w:r>
        <w:drawing>
          <wp:inline>
            <wp:extent cx="5334000" cy="758221"/>
            <wp:effectExtent b="0" l="0" r="0" t="0"/>
            <wp:docPr descr="Рис. 24: Изменение значения регистра ebx на ‘2’. Результат изменения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Рис. 24: Изменение значения регистра ebx на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. Результат изменения</w:t>
      </w:r>
    </w:p>
    <w:p>
      <w:pPr>
        <w:numPr>
          <w:ilvl w:val="0"/>
          <w:numId w:val="1025"/>
        </w:numPr>
        <w:pStyle w:val="Compact"/>
      </w:pPr>
      <w:r>
        <w:t xml:space="preserve">Изменяем значение регистра ebx на 2 с помощью команды</w:t>
      </w:r>
      <w:r>
        <w:t xml:space="preserve"> </w:t>
      </w:r>
      <w:r>
        <w:rPr>
          <w:iCs/>
          <w:i/>
        </w:rPr>
        <w:t xml:space="preserve">set</w:t>
      </w:r>
      <w:r>
        <w:t xml:space="preserve">. Видим, что выводимый результат отличается. Это потому, что в первом случае мы помещаем в регистр строку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а во втором число 2(рис. 25):</w:t>
      </w:r>
    </w:p>
    <w:p>
      <w:pPr>
        <w:pStyle w:val="CaptionedFigure"/>
      </w:pPr>
      <w:bookmarkStart w:id="122" w:name="fig:fig25"/>
      <w:r>
        <w:drawing>
          <wp:inline>
            <wp:extent cx="5334000" cy="758221"/>
            <wp:effectExtent b="0" l="0" r="0" t="0"/>
            <wp:docPr descr="Рис. 25: Изменение значения регистра ebx на 2. Результат изменения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Рис. 25: Изменение значения регистра ebx на 2. Результат изменения</w:t>
      </w:r>
    </w:p>
    <w:p>
      <w:pPr>
        <w:numPr>
          <w:ilvl w:val="0"/>
          <w:numId w:val="1026"/>
        </w:numPr>
        <w:pStyle w:val="Compact"/>
      </w:pPr>
      <w:r>
        <w:t xml:space="preserve">Завершаем выполнение программы с помощью команды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(рис. 26):</w:t>
      </w:r>
    </w:p>
    <w:p>
      <w:pPr>
        <w:pStyle w:val="CaptionedFigure"/>
      </w:pPr>
      <w:bookmarkStart w:id="126" w:name="fig:fig26"/>
      <w:r>
        <w:drawing>
          <wp:inline>
            <wp:extent cx="5334000" cy="896322"/>
            <wp:effectExtent b="0" l="0" r="0" t="0"/>
            <wp:docPr descr="Рис. 26: Завершение программы и выход из GDB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Рис. 26: Завершение программы и выход из GDB</w:t>
      </w:r>
    </w:p>
    <w:p>
      <w:pPr>
        <w:numPr>
          <w:ilvl w:val="0"/>
          <w:numId w:val="1027"/>
        </w:numPr>
        <w:pStyle w:val="Compact"/>
      </w:pPr>
      <w:r>
        <w:t xml:space="preserve">Копируем файл lab9-2.asm в файл с именем lab10-3.asm (рис. 27):</w:t>
      </w:r>
    </w:p>
    <w:p>
      <w:pPr>
        <w:pStyle w:val="CaptionedFigure"/>
      </w:pPr>
      <w:bookmarkStart w:id="130" w:name="fig:fig27"/>
      <w:r>
        <w:drawing>
          <wp:inline>
            <wp:extent cx="5334000" cy="896322"/>
            <wp:effectExtent b="0" l="0" r="0" t="0"/>
            <wp:docPr descr="Рис. 27: Копирование файла lab9-2.asm в файл с именем lab10-3.asm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Рис. 27: Копирование файла lab9-2.asm в файл с именем lab10-3.asm</w:t>
      </w:r>
    </w:p>
    <w:p>
      <w:pPr>
        <w:numPr>
          <w:ilvl w:val="0"/>
          <w:numId w:val="1028"/>
        </w:numPr>
        <w:pStyle w:val="Compact"/>
      </w:pPr>
      <w:r>
        <w:t xml:space="preserve">Создаём исполняемый файл и файл листинга с ключом -g (рис. 28):</w:t>
      </w:r>
    </w:p>
    <w:p>
      <w:pPr>
        <w:pStyle w:val="CaptionedFigure"/>
      </w:pPr>
      <w:bookmarkStart w:id="134" w:name="fig:fig28"/>
      <w:r>
        <w:drawing>
          <wp:inline>
            <wp:extent cx="5334000" cy="586827"/>
            <wp:effectExtent b="0" l="0" r="0" t="0"/>
            <wp:docPr descr="Рис. 28: Создание исполняемого файла, файла листинга lab10-3" title="" id="132" name="Picture"/>
            <a:graphic>
              <a:graphicData uri="http://schemas.openxmlformats.org/drawingml/2006/picture">
                <pic:pic>
                  <pic:nvPicPr>
                    <pic:cNvPr descr="image/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ImageCaption"/>
      </w:pPr>
      <w:r>
        <w:t xml:space="preserve">Рис. 28: Создание исполняемого файла, файла листинга lab10-3</w:t>
      </w:r>
    </w:p>
    <w:p>
      <w:pPr>
        <w:numPr>
          <w:ilvl w:val="0"/>
          <w:numId w:val="1029"/>
        </w:numPr>
        <w:pStyle w:val="Compact"/>
      </w:pPr>
      <w:r>
        <w:t xml:space="preserve">Загружаем исполняемый файл в отладчик GDB, указывая аргументы (рис. 29):</w:t>
      </w:r>
    </w:p>
    <w:p>
      <w:pPr>
        <w:pStyle w:val="CaptionedFigure"/>
      </w:pPr>
      <w:bookmarkStart w:id="138" w:name="fig:fig29"/>
      <w:r>
        <w:drawing>
          <wp:inline>
            <wp:extent cx="5334000" cy="2769734"/>
            <wp:effectExtent b="0" l="0" r="0" t="0"/>
            <wp:docPr descr="Рис. 29: Загрузка исполняемого файла в отладчик gdb с аргументами" title="" id="136" name="Picture"/>
            <a:graphic>
              <a:graphicData uri="http://schemas.openxmlformats.org/drawingml/2006/picture">
                <pic:pic>
                  <pic:nvPicPr>
                    <pic:cNvPr descr="image/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ImageCaption"/>
      </w:pPr>
      <w:r>
        <w:t xml:space="preserve">Рис. 29: Загрузка исполняемого файла в отладчик gdb с аргументами</w:t>
      </w:r>
    </w:p>
    <w:p>
      <w:pPr>
        <w:numPr>
          <w:ilvl w:val="0"/>
          <w:numId w:val="1030"/>
        </w:numPr>
        <w:pStyle w:val="Compact"/>
      </w:pPr>
      <w:r>
        <w:t xml:space="preserve">Устанавливаем точку останова перед _start и запускаем программу(рис. 30):</w:t>
      </w:r>
    </w:p>
    <w:p>
      <w:pPr>
        <w:pStyle w:val="CaptionedFigure"/>
      </w:pPr>
      <w:bookmarkStart w:id="142" w:name="fig:fig30"/>
      <w:r>
        <w:drawing>
          <wp:inline>
            <wp:extent cx="5334000" cy="2324449"/>
            <wp:effectExtent b="0" l="0" r="0" t="0"/>
            <wp:docPr descr="Рис. 30: Установка точки останова перед меткой _start. Запуск программы" title="" id="140" name="Picture"/>
            <a:graphic>
              <a:graphicData uri="http://schemas.openxmlformats.org/drawingml/2006/picture">
                <pic:pic>
                  <pic:nvPicPr>
                    <pic:cNvPr descr="image/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ImageCaption"/>
      </w:pPr>
      <w:r>
        <w:t xml:space="preserve">Рис. 30: Установка точки останова перед меткой _start. Запуск программы</w:t>
      </w:r>
    </w:p>
    <w:p>
      <w:pPr>
        <w:numPr>
          <w:ilvl w:val="0"/>
          <w:numId w:val="1031"/>
        </w:numPr>
        <w:pStyle w:val="Compact"/>
      </w:pPr>
      <w:r>
        <w:t xml:space="preserve">Узнаём количеству аргументов командной строки (рис. 31):</w:t>
      </w:r>
    </w:p>
    <w:p>
      <w:pPr>
        <w:pStyle w:val="CaptionedFigure"/>
      </w:pPr>
      <w:bookmarkStart w:id="146" w:name="fig:fig31"/>
      <w:r>
        <w:drawing>
          <wp:inline>
            <wp:extent cx="5334000" cy="523582"/>
            <wp:effectExtent b="0" l="0" r="0" t="0"/>
            <wp:docPr descr="Рис. 31: Количество аргументов командной строки" title="" id="144" name="Picture"/>
            <a:graphic>
              <a:graphicData uri="http://schemas.openxmlformats.org/drawingml/2006/picture">
                <pic:pic>
                  <pic:nvPicPr>
                    <pic:cNvPr descr="image/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ImageCaption"/>
      </w:pPr>
      <w:r>
        <w:t xml:space="preserve">Рис. 31: Количество аргументов командной строки</w:t>
      </w:r>
    </w:p>
    <w:p>
      <w:pPr>
        <w:numPr>
          <w:ilvl w:val="0"/>
          <w:numId w:val="1032"/>
        </w:numPr>
        <w:pStyle w:val="Compact"/>
      </w:pPr>
      <w:r>
        <w:t xml:space="preserve">Смотрим позиции стека по адресам [esp+4n], n={1,2,3,4,5,6}. Шаг равен 4, потому что на каждый аргумент выделено 4 байта (рис. 32):</w:t>
      </w:r>
    </w:p>
    <w:p>
      <w:pPr>
        <w:pStyle w:val="CaptionedFigure"/>
      </w:pPr>
      <w:bookmarkStart w:id="150" w:name="fig:fig32"/>
      <w:r>
        <w:drawing>
          <wp:inline>
            <wp:extent cx="5334000" cy="2295335"/>
            <wp:effectExtent b="0" l="0" r="0" t="0"/>
            <wp:docPr descr="Рис. 32: Значения располагающиеся в стеке" title="" id="148" name="Picture"/>
            <a:graphic>
              <a:graphicData uri="http://schemas.openxmlformats.org/drawingml/2006/picture">
                <pic:pic>
                  <pic:nvPicPr>
                    <pic:cNvPr descr="image/3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ImageCaption"/>
      </w:pPr>
      <w:r>
        <w:t xml:space="preserve">Рис. 32: Значения располагающиеся в стеке</w:t>
      </w:r>
    </w:p>
    <w:p>
      <w:pPr>
        <w:pStyle w:val="BodyText"/>
      </w:pPr>
      <w:r>
        <w:rPr>
          <w:iCs/>
          <w:i/>
          <w:bCs/>
          <w:b/>
        </w:rPr>
        <w:t xml:space="preserve">Задания для самостоятельной работ</w:t>
      </w:r>
      <w:r>
        <w:t xml:space="preserve"> </w:t>
      </w:r>
      <w:r>
        <w:t xml:space="preserve">33. Скопируем программу из лабораторной работы №9 и реализуем в ней</w:t>
      </w:r>
      <w:r>
        <w:t xml:space="preserve"> </w:t>
      </w:r>
      <w:r>
        <w:t xml:space="preserve">вычисление функции через подпрограмму (рис. 33):</w:t>
      </w:r>
    </w:p>
    <w:p>
      <w:pPr>
        <w:pStyle w:val="CaptionedFigure"/>
      </w:pPr>
      <w:bookmarkStart w:id="154" w:name="fig:fig33"/>
      <w:r>
        <w:drawing>
          <wp:inline>
            <wp:extent cx="5334000" cy="5504007"/>
            <wp:effectExtent b="0" l="0" r="0" t="0"/>
            <wp:docPr descr="Рис. 33: Код программы" title="" id="152" name="Picture"/>
            <a:graphic>
              <a:graphicData uri="http://schemas.openxmlformats.org/drawingml/2006/picture">
                <pic:pic>
                  <pic:nvPicPr>
                    <pic:cNvPr descr="image/3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ImageCaption"/>
      </w:pPr>
      <w:r>
        <w:t xml:space="preserve">Рис. 33: Код программы</w:t>
      </w:r>
    </w:p>
    <w:p>
      <w:pPr>
        <w:numPr>
          <w:ilvl w:val="0"/>
          <w:numId w:val="1033"/>
        </w:numPr>
        <w:pStyle w:val="Compact"/>
      </w:pPr>
      <w:r>
        <w:t xml:space="preserve">Создаём исполняемый файл и проверяем его работу (рис. 34):</w:t>
      </w:r>
    </w:p>
    <w:p>
      <w:pPr>
        <w:pStyle w:val="CaptionedFigure"/>
      </w:pPr>
      <w:bookmarkStart w:id="158" w:name="fig:fig34"/>
      <w:r>
        <w:drawing>
          <wp:inline>
            <wp:extent cx="5334000" cy="1784500"/>
            <wp:effectExtent b="0" l="0" r="0" t="0"/>
            <wp:docPr descr="Рис. 34: Создание исполняемого файла, проверка его работы" title="" id="156" name="Picture"/>
            <a:graphic>
              <a:graphicData uri="http://schemas.openxmlformats.org/drawingml/2006/picture">
                <pic:pic>
                  <pic:nvPicPr>
                    <pic:cNvPr descr="image/34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ImageCaption"/>
      </w:pPr>
      <w:r>
        <w:t xml:space="preserve">Рис. 34: Создание исполняемого файла, проверка его работы</w:t>
      </w:r>
    </w:p>
    <w:p>
      <w:pPr>
        <w:numPr>
          <w:ilvl w:val="0"/>
          <w:numId w:val="1034"/>
        </w:numPr>
        <w:pStyle w:val="Compact"/>
      </w:pPr>
      <w:r>
        <w:t xml:space="preserve">Теперь найдём ошибку в предложенной программе и исправим её. С помощью gdb отслеживаем работу программы. Исправляем программу для вычисления умножения, поменяв регистры местами (сначала eax умножался на 4, а не ebx) (рис. 35):</w:t>
      </w:r>
    </w:p>
    <w:p>
      <w:pPr>
        <w:pStyle w:val="CaptionedFigure"/>
      </w:pPr>
      <w:bookmarkStart w:id="162" w:name="fig:fig35"/>
      <w:r>
        <w:drawing>
          <wp:inline>
            <wp:extent cx="4394200" cy="3302000"/>
            <wp:effectExtent b="0" l="0" r="0" t="0"/>
            <wp:docPr descr="Рис. 35: Исправление ошибки" title="" id="160" name="Picture"/>
            <a:graphic>
              <a:graphicData uri="http://schemas.openxmlformats.org/drawingml/2006/picture">
                <pic:pic>
                  <pic:nvPicPr>
                    <pic:cNvPr descr="image/35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Рис. 35: Исправление ошибки</w:t>
      </w:r>
    </w:p>
    <w:p>
      <w:pPr>
        <w:numPr>
          <w:ilvl w:val="0"/>
          <w:numId w:val="1035"/>
        </w:numPr>
        <w:pStyle w:val="Compact"/>
      </w:pPr>
      <w:r>
        <w:t xml:space="preserve">Создаём исполняемый файл и проверяем его работу (рис. 36):</w:t>
      </w:r>
    </w:p>
    <w:p>
      <w:pPr>
        <w:pStyle w:val="CaptionedFigure"/>
      </w:pPr>
      <w:bookmarkStart w:id="166" w:name="fig:fig36"/>
      <w:r>
        <w:drawing>
          <wp:inline>
            <wp:extent cx="5334000" cy="923381"/>
            <wp:effectExtent b="0" l="0" r="0" t="0"/>
            <wp:docPr descr="Рис. 36: Создание исполняемого файла, проверка его работы" title="" id="164" name="Picture"/>
            <a:graphic>
              <a:graphicData uri="http://schemas.openxmlformats.org/drawingml/2006/picture">
                <pic:pic>
                  <pic:nvPicPr>
                    <pic:cNvPr descr="image/36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ImageCaption"/>
      </w:pPr>
      <w:r>
        <w:t xml:space="preserve">Рис. 36: Создание исполняемого файла, проверка его работы</w:t>
      </w:r>
    </w:p>
    <w:bookmarkEnd w:id="167"/>
    <w:bookmarkStart w:id="1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работать с программой отладки кода, приобрёл навыки написания программ с использованием подпрограмм.</w:t>
      </w:r>
    </w:p>
    <w:bookmarkEnd w:id="168"/>
    <w:bookmarkStart w:id="170" w:name="список-литературы"/>
    <w:p>
      <w:pPr>
        <w:pStyle w:val="Heading1"/>
      </w:pPr>
      <w:r>
        <w:t xml:space="preserve">Список литературы</w:t>
      </w:r>
    </w:p>
    <w:bookmarkStart w:id="169" w:name="refs"/>
    <w:bookmarkEnd w:id="169"/>
    <w:bookmarkEnd w:id="1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5">
    <w:nsid w:val="A9941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6">
    <w:nsid w:val="A9941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7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8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9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0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1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2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3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34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35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Косолапов Матвей Эдуадович</dc:creator>
  <dc:language>ru-RU</dc:language>
  <cp:keywords/>
  <dcterms:created xsi:type="dcterms:W3CDTF">2022-12-21T18:19:37Z</dcterms:created>
  <dcterms:modified xsi:type="dcterms:W3CDTF">2022-12-21T18:19:37Z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