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licyKicker"/>
        <w:spacing w:before="0" w:after="60"/>
      </w:pPr>
      <w:r>
        <w:rPr>
          <w:sz w:val="22"/>
        </w:rPr>
        <w:t>The MentorSphere</w:t>
      </w:r>
    </w:p>
    <w:p>
      <w:pPr>
        <w:pStyle w:val="PolicyTitle"/>
      </w:pPr>
      <w:r>
        <w:t>Privacy Policy</w:t>
      </w:r>
    </w:p>
    <w:p>
      <w:pPr>
        <w:pStyle w:val="PolicyMetadata"/>
        <w:spacing w:after="200"/>
      </w:pPr>
      <w:r>
        <w:rPr>
          <w:b/>
        </w:rPr>
        <w:t>Version 1.4</w:t>
      </w:r>
    </w:p>
    <w:p>
      <w:pPr>
        <w:pStyle w:val="Heading1"/>
      </w:pPr>
      <w:r>
        <w:t>Document details</w:t>
      </w:r>
    </w:p>
    <w:p>
      <w:pPr>
        <w:pStyle w:val="PolicyMetadata"/>
      </w:pPr>
      <w:r>
        <w:rPr>
          <w:b/>
        </w:rPr>
        <w:t xml:space="preserve">Version: </w:t>
      </w:r>
      <w:r>
        <w:t>1.4</w:t>
      </w:r>
    </w:p>
    <w:p>
      <w:pPr>
        <w:pStyle w:val="PolicyMetadata"/>
      </w:pPr>
      <w:r>
        <w:rPr>
          <w:b/>
        </w:rPr>
        <w:t xml:space="preserve">Effective date: </w:t>
      </w:r>
      <w:r>
        <w:t>28 July 2026</w:t>
      </w:r>
    </w:p>
    <w:p>
      <w:pPr>
        <w:pStyle w:val="PolicyMetadata"/>
      </w:pPr>
      <w:r>
        <w:rPr>
          <w:b/>
        </w:rPr>
        <w:t xml:space="preserve">Reviewed date: </w:t>
      </w:r>
    </w:p>
    <w:p>
      <w:pPr>
        <w:pStyle w:val="PolicyMetadata"/>
      </w:pPr>
      <w:r>
        <w:rPr>
          <w:b/>
        </w:rPr>
        <w:t xml:space="preserve">Next review date: </w:t>
      </w:r>
    </w:p>
    <w:p>
      <w:pPr>
        <w:pStyle w:val="PolicyMetadata"/>
      </w:pPr>
      <w:r>
        <w:rPr>
          <w:b/>
        </w:rPr>
        <w:t xml:space="preserve">Policy owner: </w:t>
      </w:r>
      <w:r>
        <w:t>Luke Turner, Founder of The MentorSphere</w:t>
      </w:r>
    </w:p>
    <w:p>
      <w:pPr>
        <w:pStyle w:val="PolicyMetadata"/>
      </w:pPr>
      <w:r>
        <w:rPr>
          <w:b/>
        </w:rPr>
        <w:t xml:space="preserve">Public website: </w:t>
      </w:r>
      <w:hyperlink r:id="rId11">
        <w:r>
          <w:rPr>
            <w:rFonts w:ascii="Calibri" w:hAnsi="Calibri"/>
            <w:color w:val="005F8D"/>
            <w:u w:val="single"/>
          </w:rPr>
          <w:t>View Privacy Policy on The MentorSphere website</w:t>
        </w:r>
      </w:hyperlink>
    </w:p>
    <w:p>
      <w:pPr>
        <w:pStyle w:val="Heading1"/>
      </w:pPr>
      <w:r>
        <w:t>Policy wording</w:t>
      </w:r>
    </w:p>
    <w:p>
      <w:pPr>
        <w:pStyle w:val="Heading2"/>
      </w:pPr>
      <w:r>
        <w:rPr>
          <w:b w:val="0"/>
          <w:i w:val="0"/>
        </w:rPr>
        <w:t>1. Introduction</w:t>
      </w:r>
    </w:p>
    <w:p>
      <w:pPr/>
      <w:r>
        <w:rPr>
          <w:b w:val="0"/>
          <w:i w:val="0"/>
        </w:rPr>
        <w:t>The MentorSphere is committed to protecting personal information and privacy. This policy explains how information may be collected, used, protected and disclosed when someone engages with tutoring, coaching, support services, the website or associated platforms.</w:t>
      </w:r>
    </w:p>
    <w:p>
      <w:pPr>
        <w:pStyle w:val="Heading2"/>
      </w:pPr>
      <w:r>
        <w:rPr>
          <w:b w:val="0"/>
          <w:i w:val="0"/>
        </w:rPr>
        <w:t>2. Information collected</w:t>
      </w:r>
    </w:p>
    <w:p>
      <w:pPr/>
      <w:r>
        <w:rPr>
          <w:b w:val="0"/>
          <w:i w:val="0"/>
        </w:rPr>
        <w:t>The MentorSphere may collect the following categories of personal data:</w:t>
      </w:r>
    </w:p>
    <w:p>
      <w:pPr>
        <w:numPr>
          <w:ilvl w:val="0"/>
          <w:numId w:val="10"/>
        </w:numPr>
      </w:pPr>
      <w:r>
        <w:rPr>
          <w:b/>
          <w:i w:val="0"/>
        </w:rPr>
        <w:t xml:space="preserve">Personal information: </w:t>
      </w:r>
      <w:r>
        <w:rPr>
          <w:b w:val="0"/>
          <w:i w:val="0"/>
        </w:rPr>
        <w:t>name, email address, telephone number and other contact details.</w:t>
      </w:r>
    </w:p>
    <w:p>
      <w:pPr>
        <w:numPr>
          <w:ilvl w:val="0"/>
          <w:numId w:val="10"/>
        </w:numPr>
      </w:pPr>
      <w:r>
        <w:rPr>
          <w:b/>
          <w:i w:val="0"/>
        </w:rPr>
        <w:t xml:space="preserve">Payment information: </w:t>
      </w:r>
      <w:r>
        <w:rPr>
          <w:b w:val="0"/>
          <w:i w:val="0"/>
        </w:rPr>
        <w:t>processed securely by trusted third-party providers such as GoCardless or Stripe.</w:t>
      </w:r>
    </w:p>
    <w:p>
      <w:pPr>
        <w:numPr>
          <w:ilvl w:val="0"/>
          <w:numId w:val="10"/>
        </w:numPr>
      </w:pPr>
      <w:r>
        <w:rPr>
          <w:b/>
          <w:i w:val="0"/>
        </w:rPr>
        <w:t xml:space="preserve">Technical information: </w:t>
      </w:r>
      <w:r>
        <w:rPr>
          <w:b w:val="0"/>
          <w:i w:val="0"/>
        </w:rPr>
        <w:t>information generated through the website, booking system and online platforms, such as browser type, device usage or IP address where applicable.</w:t>
      </w:r>
    </w:p>
    <w:p>
      <w:pPr>
        <w:numPr>
          <w:ilvl w:val="0"/>
          <w:numId w:val="10"/>
        </w:numPr>
      </w:pPr>
      <w:r>
        <w:rPr>
          <w:b/>
          <w:i w:val="0"/>
        </w:rPr>
        <w:t xml:space="preserve">Educational information: </w:t>
      </w:r>
      <w:r>
        <w:rPr>
          <w:b w:val="0"/>
          <w:i w:val="0"/>
        </w:rPr>
        <w:t>learning preferences, session notes, baseline assessments, educational background and other information used to tailor support.</w:t>
      </w:r>
    </w:p>
    <w:p>
      <w:pPr>
        <w:numPr>
          <w:ilvl w:val="0"/>
          <w:numId w:val="10"/>
        </w:numPr>
      </w:pPr>
      <w:r>
        <w:rPr>
          <w:b/>
          <w:i w:val="0"/>
        </w:rPr>
        <w:t xml:space="preserve">Recording consent information: </w:t>
      </w:r>
      <w:r>
        <w:rPr>
          <w:b w:val="0"/>
          <w:i w:val="0"/>
        </w:rPr>
        <w:t>where permission has been granted, records of consent relating to audio, video, screen sharing or whiteboard recording.</w:t>
      </w:r>
    </w:p>
    <w:p>
      <w:pPr>
        <w:pStyle w:val="Heading2"/>
      </w:pPr>
      <w:r>
        <w:rPr>
          <w:b w:val="0"/>
          <w:i w:val="0"/>
        </w:rPr>
        <w:t>3. How information is used</w:t>
      </w:r>
    </w:p>
    <w:p>
      <w:pPr/>
      <w:r>
        <w:rPr>
          <w:b w:val="0"/>
          <w:i w:val="0"/>
        </w:rPr>
        <w:t>Personal information may be used to:</w:t>
      </w:r>
    </w:p>
    <w:p>
      <w:pPr>
        <w:numPr>
          <w:ilvl w:val="0"/>
          <w:numId w:val="11"/>
        </w:numPr>
      </w:pPr>
      <w:r>
        <w:rPr>
          <w:b w:val="0"/>
          <w:i w:val="0"/>
        </w:rPr>
        <w:t>Deliver and personalise tutoring, coaching and support services</w:t>
      </w:r>
    </w:p>
    <w:p>
      <w:pPr>
        <w:numPr>
          <w:ilvl w:val="0"/>
          <w:numId w:val="11"/>
        </w:numPr>
      </w:pPr>
      <w:r>
        <w:rPr>
          <w:b w:val="0"/>
          <w:i w:val="0"/>
        </w:rPr>
        <w:t>Manage scheduling and communication</w:t>
      </w:r>
    </w:p>
    <w:p>
      <w:pPr>
        <w:numPr>
          <w:ilvl w:val="0"/>
          <w:numId w:val="11"/>
        </w:numPr>
      </w:pPr>
      <w:r>
        <w:rPr>
          <w:b w:val="0"/>
          <w:i w:val="0"/>
        </w:rPr>
        <w:t>Process payments securely</w:t>
      </w:r>
    </w:p>
    <w:p>
      <w:pPr>
        <w:numPr>
          <w:ilvl w:val="0"/>
          <w:numId w:val="11"/>
        </w:numPr>
      </w:pPr>
      <w:r>
        <w:rPr>
          <w:b w:val="0"/>
          <w:i w:val="0"/>
        </w:rPr>
        <w:t>Record sessions where explicit consent has been provided</w:t>
      </w:r>
    </w:p>
    <w:p>
      <w:pPr>
        <w:numPr>
          <w:ilvl w:val="0"/>
          <w:numId w:val="11"/>
        </w:numPr>
      </w:pPr>
      <w:r>
        <w:rPr>
          <w:b w:val="0"/>
          <w:i w:val="0"/>
        </w:rPr>
        <w:t>Improve services using appropriate feedback and engagement information</w:t>
      </w:r>
    </w:p>
    <w:p>
      <w:pPr>
        <w:numPr>
          <w:ilvl w:val="0"/>
          <w:numId w:val="11"/>
        </w:numPr>
      </w:pPr>
      <w:r>
        <w:rPr>
          <w:b w:val="0"/>
          <w:i w:val="0"/>
        </w:rPr>
        <w:t>Meet legal, safeguarding and professional obligations</w:t>
      </w:r>
    </w:p>
    <w:p>
      <w:pPr/>
      <w:r>
        <w:rPr>
          <w:b w:val="0"/>
          <w:i w:val="0"/>
        </w:rPr>
        <w:t>Recordings are stored securely, are not shared externally and are retained only for the agreed educational, safeguarding or quality purpose.</w:t>
      </w:r>
    </w:p>
    <w:p>
      <w:pPr>
        <w:pStyle w:val="Heading2"/>
      </w:pPr>
      <w:r>
        <w:rPr>
          <w:b w:val="0"/>
          <w:i w:val="0"/>
        </w:rPr>
        <w:t>4. Information sharing and security</w:t>
      </w:r>
    </w:p>
    <w:p>
      <w:pPr>
        <w:numPr>
          <w:ilvl w:val="0"/>
          <w:numId w:val="12"/>
        </w:numPr>
      </w:pPr>
      <w:r>
        <w:rPr>
          <w:b w:val="0"/>
          <w:i w:val="0"/>
        </w:rPr>
        <w:t>Personal data is not sold or rented to third parties.</w:t>
      </w:r>
    </w:p>
    <w:p>
      <w:pPr>
        <w:numPr>
          <w:ilvl w:val="0"/>
          <w:numId w:val="12"/>
        </w:numPr>
      </w:pPr>
      <w:r>
        <w:rPr>
          <w:b w:val="0"/>
          <w:i w:val="0"/>
        </w:rPr>
        <w:t>Information is shared with trusted third parties only where needed to deliver the service, process payments or meet legal and safeguarding duties.</w:t>
      </w:r>
    </w:p>
    <w:p>
      <w:pPr>
        <w:numPr>
          <w:ilvl w:val="0"/>
          <w:numId w:val="12"/>
        </w:numPr>
      </w:pPr>
      <w:r>
        <w:rPr>
          <w:b w:val="0"/>
          <w:i w:val="0"/>
        </w:rPr>
        <w:t>Appropriate technical and organisational measures are used to protect information.</w:t>
      </w:r>
    </w:p>
    <w:p>
      <w:pPr>
        <w:numPr>
          <w:ilvl w:val="0"/>
          <w:numId w:val="12"/>
        </w:numPr>
      </w:pPr>
      <w:r>
        <w:rPr>
          <w:b w:val="0"/>
          <w:i w:val="0"/>
        </w:rPr>
        <w:t>The MentorSphere works in line with UK GDPR and the Data Protection Act 2018.</w:t>
      </w:r>
    </w:p>
    <w:p>
      <w:pPr>
        <w:pStyle w:val="Heading2"/>
      </w:pPr>
      <w:r>
        <w:rPr>
          <w:b w:val="0"/>
          <w:i w:val="0"/>
        </w:rPr>
        <w:t>5. Individual rights</w:t>
      </w:r>
    </w:p>
    <w:p>
      <w:pPr/>
      <w:r>
        <w:rPr>
          <w:b w:val="0"/>
          <w:i w:val="0"/>
        </w:rPr>
        <w:t>Under UK GDPR, individuals may have the following rights, subject to relevant legal and safeguarding exceptions:</w:t>
      </w:r>
    </w:p>
    <w:p>
      <w:pPr>
        <w:numPr>
          <w:ilvl w:val="0"/>
          <w:numId w:val="13"/>
        </w:numPr>
      </w:pPr>
      <w:r>
        <w:rPr>
          <w:b/>
          <w:i w:val="0"/>
        </w:rPr>
        <w:t xml:space="preserve">Right of access: </w:t>
      </w:r>
      <w:r>
        <w:rPr>
          <w:b w:val="0"/>
          <w:i w:val="0"/>
        </w:rPr>
        <w:t>request a copy of personal data.</w:t>
      </w:r>
    </w:p>
    <w:p>
      <w:pPr>
        <w:numPr>
          <w:ilvl w:val="0"/>
          <w:numId w:val="13"/>
        </w:numPr>
      </w:pPr>
      <w:r>
        <w:rPr>
          <w:b/>
          <w:i w:val="0"/>
        </w:rPr>
        <w:t xml:space="preserve">Right to rectification: </w:t>
      </w:r>
      <w:r>
        <w:rPr>
          <w:b w:val="0"/>
          <w:i w:val="0"/>
        </w:rPr>
        <w:t>request correction of inaccurate or incomplete data.</w:t>
      </w:r>
    </w:p>
    <w:p>
      <w:pPr>
        <w:numPr>
          <w:ilvl w:val="0"/>
          <w:numId w:val="13"/>
        </w:numPr>
      </w:pPr>
      <w:r>
        <w:rPr>
          <w:b/>
          <w:i w:val="0"/>
        </w:rPr>
        <w:t xml:space="preserve">Right to erasure: </w:t>
      </w:r>
      <w:r>
        <w:rPr>
          <w:b w:val="0"/>
          <w:i w:val="0"/>
        </w:rPr>
        <w:t>request deletion where there is no lawful reason to retain the data.</w:t>
      </w:r>
    </w:p>
    <w:p>
      <w:pPr>
        <w:numPr>
          <w:ilvl w:val="0"/>
          <w:numId w:val="13"/>
        </w:numPr>
      </w:pPr>
      <w:r>
        <w:rPr>
          <w:b/>
          <w:i w:val="0"/>
        </w:rPr>
        <w:t xml:space="preserve">Right to restrict processing: </w:t>
      </w:r>
      <w:r>
        <w:rPr>
          <w:b w:val="0"/>
          <w:i w:val="0"/>
        </w:rPr>
        <w:t>request limits on how information is used.</w:t>
      </w:r>
    </w:p>
    <w:p>
      <w:pPr>
        <w:numPr>
          <w:ilvl w:val="0"/>
          <w:numId w:val="13"/>
        </w:numPr>
      </w:pPr>
      <w:r>
        <w:rPr>
          <w:b/>
          <w:i w:val="0"/>
        </w:rPr>
        <w:t xml:space="preserve">Right to object: </w:t>
      </w:r>
      <w:r>
        <w:rPr>
          <w:b w:val="0"/>
          <w:i w:val="0"/>
        </w:rPr>
        <w:t>object to processing in specific circumstances.</w:t>
      </w:r>
    </w:p>
    <w:p>
      <w:pPr>
        <w:numPr>
          <w:ilvl w:val="0"/>
          <w:numId w:val="13"/>
        </w:numPr>
      </w:pPr>
      <w:r>
        <w:rPr>
          <w:b/>
          <w:i w:val="0"/>
        </w:rPr>
        <w:t xml:space="preserve">Right to data portability: </w:t>
      </w:r>
      <w:r>
        <w:rPr>
          <w:b w:val="0"/>
          <w:i w:val="0"/>
        </w:rPr>
        <w:t>request data in a commonly used, structured format where the right applies.</w:t>
      </w:r>
    </w:p>
    <w:p>
      <w:pPr/>
      <w:r>
        <w:rPr>
          <w:b w:val="0"/>
          <w:i w:val="0"/>
        </w:rPr>
        <w:t xml:space="preserve">To exercise a right or raise a concern, email </w:t>
      </w:r>
      <w:hyperlink r:id="rId12">
        <w:r>
          <w:rPr>
            <w:rFonts w:ascii="Calibri" w:hAnsi="Calibri"/>
            <w:color w:val="005F8D"/>
            <w:u w:val="single"/>
          </w:rPr>
          <w:t>luke@thementorsphere.co.uk</w:t>
        </w:r>
      </w:hyperlink>
      <w:r>
        <w:rPr>
          <w:b w:val="0"/>
          <w:i w:val="0"/>
        </w:rPr>
        <w:t>.</w:t>
      </w:r>
    </w:p>
    <w:p>
      <w:pPr>
        <w:pStyle w:val="Heading2"/>
      </w:pPr>
      <w:r>
        <w:rPr>
          <w:b w:val="0"/>
          <w:i w:val="0"/>
        </w:rPr>
        <w:t>6. Third-party services</w:t>
      </w:r>
    </w:p>
    <w:p>
      <w:pPr/>
      <w:r>
        <w:rPr>
          <w:b w:val="0"/>
          <w:i w:val="0"/>
        </w:rPr>
        <w:t>Services used to support delivery may include:</w:t>
      </w:r>
    </w:p>
    <w:p>
      <w:pPr>
        <w:numPr>
          <w:ilvl w:val="0"/>
          <w:numId w:val="14"/>
        </w:numPr>
      </w:pPr>
      <w:r>
        <w:rPr>
          <w:b/>
          <w:i w:val="0"/>
        </w:rPr>
        <w:t xml:space="preserve">Lessonspace: </w:t>
      </w:r>
      <w:r>
        <w:rPr>
          <w:b w:val="0"/>
          <w:i w:val="0"/>
        </w:rPr>
        <w:t>live online tutoring and interactive whiteboards.</w:t>
      </w:r>
    </w:p>
    <w:p>
      <w:pPr>
        <w:numPr>
          <w:ilvl w:val="0"/>
          <w:numId w:val="14"/>
        </w:numPr>
      </w:pPr>
      <w:r>
        <w:rPr>
          <w:b/>
          <w:i w:val="0"/>
        </w:rPr>
        <w:t xml:space="preserve">Google Calendar and Google Forms: </w:t>
      </w:r>
      <w:r>
        <w:rPr>
          <w:b w:val="0"/>
          <w:i w:val="0"/>
        </w:rPr>
        <w:t>scheduling and learner intake.</w:t>
      </w:r>
    </w:p>
    <w:p>
      <w:pPr>
        <w:numPr>
          <w:ilvl w:val="0"/>
          <w:numId w:val="14"/>
        </w:numPr>
      </w:pPr>
      <w:r>
        <w:rPr>
          <w:b/>
          <w:i w:val="0"/>
        </w:rPr>
        <w:t xml:space="preserve">GoCardless or Stripe: </w:t>
      </w:r>
      <w:r>
        <w:rPr>
          <w:b w:val="0"/>
          <w:i w:val="0"/>
        </w:rPr>
        <w:t>secure payment processing.</w:t>
      </w:r>
    </w:p>
    <w:p>
      <w:pPr>
        <w:numPr>
          <w:ilvl w:val="0"/>
          <w:numId w:val="14"/>
        </w:numPr>
      </w:pPr>
      <w:r>
        <w:rPr>
          <w:b/>
          <w:i w:val="0"/>
        </w:rPr>
        <w:t xml:space="preserve">Calendly or Google appointment scheduling: </w:t>
      </w:r>
      <w:r>
        <w:rPr>
          <w:b w:val="0"/>
          <w:i w:val="0"/>
        </w:rPr>
        <w:t>booking introductory sessions.</w:t>
      </w:r>
    </w:p>
    <w:p>
      <w:pPr>
        <w:numPr>
          <w:ilvl w:val="0"/>
          <w:numId w:val="14"/>
        </w:numPr>
      </w:pPr>
      <w:r>
        <w:rPr>
          <w:b/>
          <w:i w:val="0"/>
        </w:rPr>
        <w:t xml:space="preserve">Formspree: </w:t>
      </w:r>
      <w:r>
        <w:rPr>
          <w:b w:val="0"/>
          <w:i w:val="0"/>
        </w:rPr>
        <w:t>processing and delivering enquiries submitted through the website contact form.</w:t>
      </w:r>
    </w:p>
    <w:p>
      <w:pPr>
        <w:numPr>
          <w:ilvl w:val="0"/>
          <w:numId w:val="14"/>
        </w:numPr>
      </w:pPr>
      <w:r>
        <w:rPr>
          <w:b/>
          <w:i w:val="0"/>
        </w:rPr>
        <w:t xml:space="preserve">Email and communications providers: </w:t>
      </w:r>
      <w:r>
        <w:rPr>
          <w:b w:val="0"/>
          <w:i w:val="0"/>
        </w:rPr>
        <w:t>sending and receiving service communications through the contact methods agreed with the person.</w:t>
      </w:r>
    </w:p>
    <w:p>
      <w:pPr>
        <w:numPr>
          <w:ilvl w:val="0"/>
          <w:numId w:val="14"/>
        </w:numPr>
      </w:pPr>
      <w:r>
        <w:rPr>
          <w:b/>
          <w:i w:val="0"/>
        </w:rPr>
        <w:t xml:space="preserve">Cloudflare: </w:t>
      </w:r>
      <w:r>
        <w:rPr>
          <w:b w:val="0"/>
          <w:i w:val="0"/>
        </w:rPr>
        <w:t>website hosting, content delivery, network security, protection against malicious traffic and website performance.</w:t>
      </w:r>
    </w:p>
    <w:p>
      <w:pPr/>
      <w:r>
        <w:rPr>
          <w:b w:val="0"/>
          <w:i w:val="0"/>
        </w:rPr>
        <w:t>Third-party services are selected with data protection and service suitability in mind. They operate under their own privacy terms.</w:t>
      </w:r>
    </w:p>
    <w:p>
      <w:pPr>
        <w:pStyle w:val="Heading3"/>
      </w:pPr>
      <w:r>
        <w:rPr>
          <w:b w:val="0"/>
          <w:i w:val="0"/>
        </w:rPr>
        <w:t>Website hosting, security and performance</w:t>
      </w:r>
    </w:p>
    <w:p>
      <w:pPr/>
      <w:r>
        <w:rPr>
          <w:b w:val="0"/>
          <w:i w:val="0"/>
        </w:rP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pPr/>
      <w:r>
        <w:rPr>
          <w:b w:val="0"/>
          <w:i w:val="0"/>
        </w:rPr>
        <w:t>This processing supports The MentorSphere's legitimate interests in maintaining a secure, reliable and effective website. Retention and handling of this technical information depend on the applicable supplier terms and The MentorSphere's Cloudflare configuration.</w:t>
      </w:r>
    </w:p>
    <w:p>
      <w:pPr>
        <w:pStyle w:val="Heading2"/>
      </w:pPr>
      <w:r>
        <w:rPr>
          <w:b w:val="0"/>
          <w:i w:val="0"/>
        </w:rPr>
        <w:t>7. Session recordings</w:t>
      </w:r>
    </w:p>
    <w:p>
      <w:pPr>
        <w:numPr>
          <w:ilvl w:val="0"/>
          <w:numId w:val="15"/>
        </w:numPr>
      </w:pPr>
      <w:r>
        <w:rPr>
          <w:b w:val="0"/>
          <w:i w:val="0"/>
        </w:rPr>
        <w:t>Recordings are made only with explicit prior consent.</w:t>
      </w:r>
    </w:p>
    <w:p>
      <w:pPr>
        <w:numPr>
          <w:ilvl w:val="0"/>
          <w:numId w:val="15"/>
        </w:numPr>
      </w:pPr>
      <w:r>
        <w:rPr>
          <w:b w:val="0"/>
          <w:i w:val="0"/>
        </w:rPr>
        <w:t>A recording may include video, audio, screen sharing and interactive whiteboard activity.</w:t>
      </w:r>
    </w:p>
    <w:p>
      <w:pPr>
        <w:numPr>
          <w:ilvl w:val="0"/>
          <w:numId w:val="15"/>
        </w:numPr>
      </w:pPr>
      <w:r>
        <w:rPr>
          <w:b w:val="0"/>
          <w:i w:val="0"/>
        </w:rPr>
        <w:t>Recordings are used only for safeguarding, training, quality or educational review.</w:t>
      </w:r>
    </w:p>
    <w:p>
      <w:pPr>
        <w:numPr>
          <w:ilvl w:val="0"/>
          <w:numId w:val="15"/>
        </w:numPr>
      </w:pPr>
      <w:r>
        <w:rPr>
          <w:b w:val="0"/>
          <w:i w:val="0"/>
        </w:rPr>
        <w:t>Recordings are stored securely for up to 12 months unless a different retention period is justified by safeguarding or legal need.</w:t>
      </w:r>
    </w:p>
    <w:p>
      <w:pPr>
        <w:numPr>
          <w:ilvl w:val="0"/>
          <w:numId w:val="15"/>
        </w:numPr>
      </w:pPr>
      <w:r>
        <w:rPr>
          <w:b w:val="0"/>
          <w:i w:val="0"/>
        </w:rPr>
        <w:t xml:space="preserve">Consent can be withdrawn by contacting </w:t>
      </w:r>
      <w:hyperlink r:id="rId12">
        <w:r>
          <w:rPr>
            <w:rFonts w:ascii="Calibri" w:hAnsi="Calibri"/>
            <w:color w:val="005F8D"/>
            <w:u w:val="single"/>
          </w:rPr>
          <w:t>luke@thementorsphere.co.uk</w:t>
        </w:r>
      </w:hyperlink>
      <w:r>
        <w:rPr>
          <w:b w:val="0"/>
          <w:i w:val="0"/>
        </w:rPr>
        <w:t>. Withdrawal does not affect processing that was lawful before it was withdrawn.</w:t>
      </w:r>
    </w:p>
    <w:p>
      <w:pPr>
        <w:pStyle w:val="Heading2"/>
      </w:pPr>
      <w:r>
        <w:rPr>
          <w:b w:val="0"/>
          <w:i w:val="0"/>
        </w:rPr>
        <w:t>8. Website contact form</w:t>
      </w:r>
    </w:p>
    <w:p>
      <w:pPr/>
      <w:r>
        <w:rPr>
          <w:b w:val="0"/>
          <w:i w:val="0"/>
        </w:rP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pPr/>
      <w:r>
        <w:rPr>
          <w:b w:val="0"/>
          <w:i w:val="0"/>
        </w:rPr>
        <w:t>The information submitted may include:</w:t>
      </w:r>
    </w:p>
    <w:p>
      <w:pPr>
        <w:numPr>
          <w:ilvl w:val="0"/>
          <w:numId w:val="16"/>
        </w:numPr>
      </w:pPr>
      <w:r>
        <w:rPr>
          <w:b w:val="0"/>
          <w:i w:val="0"/>
        </w:rPr>
        <w:t>Name and email address</w:t>
      </w:r>
    </w:p>
    <w:p>
      <w:pPr>
        <w:numPr>
          <w:ilvl w:val="0"/>
          <w:numId w:val="16"/>
        </w:numPr>
      </w:pPr>
      <w:r>
        <w:rPr>
          <w:b w:val="0"/>
          <w:i w:val="0"/>
        </w:rPr>
        <w:t>Telephone number and preferred contact method, where provided</w:t>
      </w:r>
    </w:p>
    <w:p>
      <w:pPr>
        <w:numPr>
          <w:ilvl w:val="0"/>
          <w:numId w:val="16"/>
        </w:numPr>
      </w:pPr>
      <w:r>
        <w:rPr>
          <w:b w:val="0"/>
          <w:i w:val="0"/>
        </w:rPr>
        <w:t>The selected area of support</w:t>
      </w:r>
    </w:p>
    <w:p>
      <w:pPr>
        <w:numPr>
          <w:ilvl w:val="0"/>
          <w:numId w:val="16"/>
        </w:numPr>
      </w:pPr>
      <w:r>
        <w:rPr>
          <w:b w:val="0"/>
          <w:i w:val="0"/>
        </w:rPr>
        <w:t>The enquiry message and privacy acknowledgement</w:t>
      </w:r>
    </w:p>
    <w:p>
      <w:pPr>
        <w:numPr>
          <w:ilvl w:val="0"/>
          <w:numId w:val="16"/>
        </w:numPr>
      </w:pPr>
      <w:r>
        <w:rPr>
          <w:b w:val="0"/>
          <w:i w:val="0"/>
        </w:rPr>
        <w:t>The contact page address used as the source of the enquiry</w:t>
      </w:r>
    </w:p>
    <w:p>
      <w:pPr/>
      <w:r>
        <w:rPr>
          <w:b w:val="0"/>
          <w:i w:val="0"/>
        </w:rP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pPr/>
      <w:r>
        <w:rPr>
          <w:b w:val="0"/>
          <w:i w:val="0"/>
        </w:rPr>
        <w:t xml:space="preserve">Formspree operates under its own privacy terms. Read the </w:t>
      </w:r>
      <w:hyperlink r:id="rId13">
        <w:r>
          <w:rPr>
            <w:rFonts w:ascii="Calibri" w:hAnsi="Calibri"/>
            <w:color w:val="005F8D"/>
            <w:u w:val="single"/>
          </w:rPr>
          <w:t xml:space="preserve">Formspree Privacy Policy </w:t>
        </w:r>
      </w:hyperlink>
      <w:r>
        <w:rPr>
          <w:b w:val="0"/>
          <w:i w:val="0"/>
        </w:rPr>
        <w:t>for information about how Formspree handles personal data.</w:t>
      </w:r>
    </w:p>
    <w:p>
      <w:pPr>
        <w:pStyle w:val="Heading2"/>
      </w:pPr>
      <w:r>
        <w:rPr>
          <w:b w:val="0"/>
          <w:i w:val="0"/>
        </w:rPr>
        <w:t>9. Policy updates</w:t>
      </w:r>
    </w:p>
    <w:p>
      <w:pPr/>
      <w:r>
        <w:rPr>
          <w:b w:val="0"/>
          <w:i w:val="0"/>
        </w:rPr>
        <w:t>This policy may be updated when services, platforms, legal requirements or data practices change. Material changes may be communicated through the website, email or booking platform.</w:t>
      </w:r>
    </w:p>
    <w:p>
      <w:pPr>
        <w:pStyle w:val="Heading3"/>
      </w:pPr>
      <w:r>
        <w:rPr>
          <w:b w:val="0"/>
          <w:i w:val="0"/>
        </w:rPr>
        <w:t>Change log</w:t>
      </w:r>
    </w:p>
    <w:p>
      <w:pPr/>
      <w:r>
        <w:rPr>
          <w:b/>
          <w:i w:val="0"/>
        </w:rPr>
        <w:t xml:space="preserve">V1.4, 28 July 2026: </w:t>
      </w:r>
      <w:r>
        <w:rPr>
          <w:b w:val="0"/>
          <w:i w:val="0"/>
        </w:rPr>
        <w:t>corrected the policy-directory version, added Cloudflare hosting and security information, and clarified the website and service-provider information.</w:t>
      </w:r>
    </w:p>
    <w:p>
      <w:pPr>
        <w:pStyle w:val="Heading2"/>
      </w:pPr>
      <w:r>
        <w:rPr>
          <w:b w:val="0"/>
          <w:i w:val="0"/>
        </w:rPr>
        <w:t>10. Contact information</w:t>
      </w:r>
    </w:p>
    <w:p>
      <w:pPr/>
      <w:r>
        <w:rPr>
          <w:b w:val="0"/>
          <w:i w:val="0"/>
        </w:rPr>
        <w:t>Privacy enquiries and data rights requests should be sent to:</w:t>
      </w:r>
    </w:p>
    <w:p>
      <w:pPr/>
      <w:r>
        <w:rPr>
          <w:b/>
          <w:i w:val="0"/>
        </w:rPr>
        <w:t>Luke Turner</w:t>
      </w:r>
      <w:r>
        <w:br/>
      </w:r>
      <w:r>
        <w:rPr>
          <w:b w:val="0"/>
          <w:i w:val="0"/>
        </w:rPr>
        <w:t xml:space="preserve">Email: </w:t>
      </w:r>
      <w:hyperlink r:id="rId12">
        <w:r>
          <w:rPr>
            <w:rFonts w:ascii="Calibri" w:hAnsi="Calibri"/>
            <w:color w:val="005F8D"/>
            <w:u w:val="single"/>
          </w:rPr>
          <w:t>luke@thementorsphere.co.uk</w:t>
        </w:r>
      </w:hyperlink>
      <w:r>
        <w:br/>
      </w:r>
      <w:r>
        <w:rPr>
          <w:b w:val="0"/>
          <w:i w:val="0"/>
        </w:rPr>
        <w:t xml:space="preserve">Telephone: </w:t>
      </w:r>
      <w:hyperlink r:id="rId14">
        <w:r>
          <w:rPr>
            <w:rFonts w:ascii="Calibri" w:hAnsi="Calibri"/>
            <w:color w:val="005F8D"/>
            <w:u w:val="single"/>
          </w:rPr>
          <w:t>07955 723 133</w:t>
        </w:r>
      </w:hyperlink>
    </w:p>
    <w:p>
      <w:pPr>
        <w:pStyle w:val="PolicyCallout"/>
        <w:shd w:fill="EAF4F8"/>
        <w:pBdr>
          <w:left w:val="single" w:sz="18" w:space="8" w:color="005F8D"/>
        </w:pBdr>
      </w:pPr>
      <w:r>
        <w:rPr>
          <w:b w:val="0"/>
          <w:i w:val="0"/>
        </w:rPr>
        <w:t>By engaging with The MentorSphere, you acknowledge that you have been given access to this Privacy Policy. Specific consent is requested separately where required, including for optional session recording.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left"/>
        <w:tab w:pos="9360" w:val="left"/>
      </w:tabs>
      <w:spacing w:before="0" w:after="0"/>
    </w:pPr>
    <w:r>
      <w:rPr>
        <w:rFonts w:ascii="Calibri" w:hAnsi="Calibri"/>
        <w:color w:val="5E6B72"/>
        <w:sz w:val="16"/>
      </w:rPr>
      <w:t>Privacy Policy</w:t>
    </w:r>
    <w:r>
      <w:tab/>
    </w:r>
    <w:r>
      <w:rPr>
        <w:rFonts w:ascii="Calibri" w:hAnsi="Calibri"/>
        <w:color w:val="5E6B72"/>
        <w:sz w:val="16"/>
      </w:rPr>
      <w:t>Version 1.4</w:t>
    </w:r>
    <w:r>
      <w:tab/>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B72"/>
        <w:sz w:val="17"/>
      </w:rPr>
      <w:t>THE MENTORSPHERE  |  CURRENT POLICY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0">
    <w:abstractNumId w:val="9"/>
  </w:num>
  <w:abstractNum w:abstractNumId="10">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1">
    <w:abstractNumId w:val="10"/>
  </w:num>
  <w:abstractNum w:abstractNumId="11">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2">
    <w:abstractNumId w:val="11"/>
  </w:num>
  <w:abstractNum w:abstractNumId="12">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3">
    <w:abstractNumId w:val="12"/>
  </w:num>
  <w:abstractNum w:abstractNumId="13">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4">
    <w:abstractNumId w:val="13"/>
  </w:num>
  <w:abstractNum w:abstractNumId="14">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5">
    <w:abstractNumId w:val="14"/>
  </w:num>
  <w:abstractNum w:abstractNumId="15">
    <w:multiLevelType w:val="multilevel"/>
    <w:lvl w:ilvl="0">
      <w:start w:val="1"/>
      <w:numFmt w:val="bullet"/>
      <w:lvlText w:val="•"/>
      <w:lvlJc w:val="left"/>
      <w:pPr>
        <w:tabs>
          <w:tab w:val="num" w:pos="720"/>
        </w:tabs>
        <w:ind w:left="720" w:hanging="360"/>
        <w:spacing w:after="160" w:line="280" w:lineRule="auto"/>
      </w:pPr>
      <w:rPr>
        <w:rFonts w:ascii="Arial" w:hAnsi="Arial"/>
      </w:rPr>
    </w:lvl>
    <w:lvl w:ilvl="1">
      <w:start w:val="1"/>
      <w:numFmt w:val="bullet"/>
      <w:lvlText w:val="•"/>
      <w:lvlJc w:val="left"/>
      <w:pPr>
        <w:tabs>
          <w:tab w:val="num" w:pos="1080"/>
        </w:tabs>
        <w:ind w:left="1080" w:hanging="360"/>
        <w:spacing w:after="160" w:line="280" w:lineRule="auto"/>
      </w:pPr>
      <w:rPr>
        <w:rFonts w:ascii="Arial" w:hAnsi="Arial"/>
      </w:rPr>
    </w:lvl>
    <w:lvl w:ilvl="2">
      <w:start w:val="1"/>
      <w:numFmt w:val="bullet"/>
      <w:lvlText w:val="•"/>
      <w:lvlJc w:val="left"/>
      <w:pPr>
        <w:tabs>
          <w:tab w:val="num" w:pos="1440"/>
        </w:tabs>
        <w:ind w:left="1440" w:hanging="360"/>
        <w:spacing w:after="160" w:line="280" w:lineRule="auto"/>
      </w:pPr>
      <w:rPr>
        <w:rFonts w:ascii="Arial" w:hAnsi="Arial"/>
      </w:rPr>
    </w:lvl>
    <w:lvl w:ilvl="3">
      <w:start w:val="1"/>
      <w:numFmt w:val="bullet"/>
      <w:lvlText w:val="•"/>
      <w:lvlJc w:val="left"/>
      <w:pPr>
        <w:tabs>
          <w:tab w:val="num" w:pos="1800"/>
        </w:tabs>
        <w:ind w:left="1800" w:hanging="360"/>
        <w:spacing w:after="160" w:line="280" w:lineRule="auto"/>
      </w:pPr>
      <w:rPr>
        <w:rFonts w:ascii="Arial" w:hAnsi="Arial"/>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hementorsphere.co.uk/privacy-policy/" TargetMode="External"/><Relationship Id="rId12" Type="http://schemas.openxmlformats.org/officeDocument/2006/relationships/hyperlink" Target="mailto:luke@thementorsphere.co.uk" TargetMode="External"/><Relationship Id="rId13" Type="http://schemas.openxmlformats.org/officeDocument/2006/relationships/hyperlink" Target="https://formspree.io/legal/privacy-policy/" TargetMode="External"/><Relationship Id="rId14" Type="http://schemas.openxmlformats.org/officeDocument/2006/relationships/hyperlink" Target="tel:+447955723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Version 1.4</dc:title>
  <dc:subject>The MentorSphere current policy archive</dc:subject>
  <dc:creator>The MentorSphere</dc:creator>
  <cp:keywords>The MentorSphere, policy, education, neurodiversity</cp:keywords>
  <dc:description>Generated from origin/main commit 24266488ce402ab67e482e55f9101b0463489e4b on 2026-07-29.</dc:description>
  <cp:lastModifiedBy>The MentorSphere</cp:lastModifiedBy>
  <cp:revision>1</cp:revision>
  <dcterms:created xsi:type="dcterms:W3CDTF">2013-12-23T23:15:00Z</dcterms:created>
  <dcterms:modified xsi:type="dcterms:W3CDTF">2013-12-23T23:15:00Z</dcterms:modified>
  <cp:category/>
</cp:coreProperties>
</file>