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licyKicker"/>
        <w:spacing w:before="0" w:after="60"/>
      </w:pPr>
      <w:r>
        <w:rPr>
          <w:sz w:val="22"/>
        </w:rPr>
        <w:t>The MentorSphere</w:t>
      </w:r>
    </w:p>
    <w:p>
      <w:pPr>
        <w:pStyle w:val="PolicyTitle"/>
      </w:pPr>
      <w:r>
        <w:t>ADHD Coaching Policy</w:t>
      </w:r>
    </w:p>
    <w:p>
      <w:pPr>
        <w:pStyle w:val="PolicyMetadata"/>
        <w:spacing w:after="200"/>
      </w:pPr>
      <w:r>
        <w:rPr>
          <w:b/>
        </w:rPr>
        <w:t>Version 1.4</w:t>
      </w:r>
    </w:p>
    <w:p>
      <w:pPr>
        <w:pStyle w:val="Heading1"/>
      </w:pPr>
      <w:r>
        <w:t>Document details</w:t>
      </w:r>
    </w:p>
    <w:p>
      <w:pPr>
        <w:pStyle w:val="PolicyMetadata"/>
      </w:pPr>
      <w:r>
        <w:rPr>
          <w:b/>
        </w:rPr>
        <w:t xml:space="preserve">Version: </w:t>
      </w:r>
      <w:r>
        <w:t>1.4</w:t>
      </w:r>
    </w:p>
    <w:p>
      <w:pPr>
        <w:pStyle w:val="PolicyMetadata"/>
      </w:pPr>
      <w:r>
        <w:rPr>
          <w:b/>
        </w:rPr>
        <w:t xml:space="preserve">Effective date: </w:t>
      </w:r>
      <w:r>
        <w:t>25 September 2026</w:t>
      </w:r>
    </w:p>
    <w:p>
      <w:pPr>
        <w:pStyle w:val="PolicyMetadata"/>
      </w:pPr>
      <w:r>
        <w:rPr>
          <w:b/>
        </w:rPr>
        <w:t xml:space="preserve">Next review date: </w:t>
      </w:r>
      <w:r>
        <w:t>27 July 2027</w:t>
      </w:r>
    </w:p>
    <w:p>
      <w:pPr>
        <w:pStyle w:val="PolicyMetadata"/>
      </w:pPr>
      <w:r>
        <w:rPr>
          <w:b/>
        </w:rPr>
        <w:t xml:space="preserve">Policy owner: </w:t>
      </w:r>
      <w:r>
        <w:t>Luke Turner, Founder of The MentorSphere</w:t>
      </w:r>
    </w:p>
    <w:p>
      <w:pPr>
        <w:pStyle w:val="PolicyMetadata"/>
      </w:pPr>
      <w:r>
        <w:rPr>
          <w:b/>
        </w:rPr>
        <w:t xml:space="preserve">Status: </w:t>
      </w:r>
      <w:r>
        <w:t>Approved and current. Owner sign-off: 26 September 2026.</w:t>
      </w:r>
    </w:p>
    <w:p>
      <w:pPr>
        <w:pStyle w:val="PolicyMetadata"/>
      </w:pPr>
      <w:r>
        <w:rPr>
          <w:b/>
        </w:rPr>
        <w:t xml:space="preserve">Public website: </w:t>
      </w:r>
      <w:hyperlink r:id="rId11">
        <w:r>
          <w:rPr>
            <w:rFonts w:ascii="Calibri" w:hAnsi="Calibri"/>
            <w:color w:val="005F8D"/>
            <w:u w:val="single"/>
          </w:rPr>
          <w:t>View ADHD Coaching Policy on The MentorSphere website</w:t>
        </w:r>
      </w:hyperlink>
    </w:p>
    <w:p>
      <w:pPr>
        <w:pStyle w:val="Heading1"/>
      </w:pPr>
      <w:r>
        <w:t>Policy wording</w:t>
      </w:r>
    </w:p>
    <w:p>
      <w:pPr>
        <w:pStyle w:val="Heading2"/>
      </w:pPr>
      <w:r>
        <w:rPr>
          <w:b w:val="0"/>
          <w:i w:val="0"/>
        </w:rPr>
        <w:t>1. Introduction and purpose</w:t>
      </w:r>
    </w:p>
    <w:p>
      <w:pPr/>
      <w:r>
        <w:rPr>
          <w:b w:val="0"/>
          <w:i w:val="0"/>
        </w:rPr>
        <w:t>This policy explains the structure, expectations and terms of ADHD coaching delivered through The ADHD Mentor, a branch of The MentorSphere.</w:t>
      </w:r>
    </w:p>
    <w:p>
      <w:pPr/>
      <w:r>
        <w:rPr>
          <w:b w:val="0"/>
          <w:i w:val="0"/>
        </w:rPr>
        <w:t>The approach is informed by lived experience, professional practice, practical strategies and a neurodiversity-affirming understanding of ADHD.</w:t>
      </w:r>
    </w:p>
    <w:p>
      <w:pPr>
        <w:pStyle w:val="Heading2"/>
      </w:pPr>
      <w:r>
        <w:rPr>
          <w:b w:val="0"/>
          <w:i w:val="0"/>
        </w:rPr>
        <w:t>2. Scope and audiences</w:t>
      </w:r>
    </w:p>
    <w:p>
      <w:pPr/>
      <w:r>
        <w:rPr>
          <w:b w:val="0"/>
          <w:i w:val="0"/>
        </w:rPr>
        <w:t>This policy applies to:</w:t>
      </w:r>
    </w:p>
    <w:p>
      <w:pPr>
        <w:numPr>
          <w:ilvl w:val="0"/>
          <w:numId w:val="10"/>
        </w:numPr>
      </w:pPr>
      <w:r>
        <w:rPr>
          <w:b w:val="0"/>
          <w:i w:val="0"/>
        </w:rPr>
        <w:t>Adults with ADHD aged 18+</w:t>
      </w:r>
    </w:p>
    <w:p>
      <w:pPr>
        <w:numPr>
          <w:ilvl w:val="0"/>
          <w:numId w:val="10"/>
        </w:numPr>
      </w:pPr>
      <w:r>
        <w:rPr>
          <w:b w:val="0"/>
          <w:i w:val="0"/>
        </w:rPr>
        <w:t>Young people with ADHD aged 10 to 17</w:t>
      </w:r>
    </w:p>
    <w:p>
      <w:pPr>
        <w:numPr>
          <w:ilvl w:val="0"/>
          <w:numId w:val="10"/>
        </w:numPr>
      </w:pPr>
      <w:r>
        <w:rPr>
          <w:b w:val="0"/>
          <w:i w:val="0"/>
        </w:rPr>
        <w:t>Parents &amp; guardians supporting a young person with ADHD</w:t>
      </w:r>
    </w:p>
    <w:p>
      <w:pPr>
        <w:numPr>
          <w:ilvl w:val="0"/>
          <w:numId w:val="10"/>
        </w:numPr>
      </w:pPr>
      <w:r>
        <w:rPr>
          <w:b w:val="0"/>
          <w:i w:val="0"/>
        </w:rPr>
        <w:t>Access to Work clients</w:t>
      </w:r>
    </w:p>
    <w:p>
      <w:pPr>
        <w:numPr>
          <w:ilvl w:val="0"/>
          <w:numId w:val="10"/>
        </w:numPr>
      </w:pPr>
      <w:r>
        <w:rPr>
          <w:b w:val="0"/>
          <w:i w:val="0"/>
        </w:rPr>
        <w:t>Employer-funded clients</w:t>
      </w:r>
    </w:p>
    <w:p>
      <w:pPr/>
      <w:r>
        <w:rPr>
          <w:b w:val="0"/>
          <w:i w:val="0"/>
        </w:rPr>
        <w:t>ADHD coaching is proactive, reflective and strategy-based. It can support areas such as:</w:t>
      </w:r>
    </w:p>
    <w:p>
      <w:pPr>
        <w:numPr>
          <w:ilvl w:val="0"/>
          <w:numId w:val="11"/>
        </w:numPr>
      </w:pPr>
      <w:r>
        <w:rPr>
          <w:b w:val="0"/>
          <w:i w:val="0"/>
        </w:rPr>
        <w:t>Routines, planning and everyday executive function</w:t>
      </w:r>
    </w:p>
    <w:p>
      <w:pPr>
        <w:numPr>
          <w:ilvl w:val="0"/>
          <w:numId w:val="11"/>
        </w:numPr>
      </w:pPr>
      <w:r>
        <w:rPr>
          <w:b w:val="0"/>
          <w:i w:val="0"/>
        </w:rPr>
        <w:t>Emotional regulation and recovery after difficult moments</w:t>
      </w:r>
    </w:p>
    <w:p>
      <w:pPr>
        <w:numPr>
          <w:ilvl w:val="0"/>
          <w:numId w:val="11"/>
        </w:numPr>
      </w:pPr>
      <w:r>
        <w:rPr>
          <w:b w:val="0"/>
          <w:i w:val="0"/>
        </w:rPr>
        <w:t>Motivation, procrastination and task initiation</w:t>
      </w:r>
    </w:p>
    <w:p>
      <w:pPr>
        <w:numPr>
          <w:ilvl w:val="0"/>
          <w:numId w:val="11"/>
        </w:numPr>
      </w:pPr>
      <w:r>
        <w:rPr>
          <w:b w:val="0"/>
          <w:i w:val="0"/>
        </w:rPr>
        <w:t>School, work, study and relationships</w:t>
      </w:r>
    </w:p>
    <w:p>
      <w:pPr>
        <w:numPr>
          <w:ilvl w:val="0"/>
          <w:numId w:val="11"/>
        </w:numPr>
      </w:pPr>
      <w:r>
        <w:rPr>
          <w:b w:val="0"/>
          <w:i w:val="0"/>
        </w:rPr>
        <w:t>Identity, confidence and self-understanding</w:t>
      </w:r>
    </w:p>
    <w:p>
      <w:pPr>
        <w:numPr>
          <w:ilvl w:val="0"/>
          <w:numId w:val="11"/>
        </w:numPr>
      </w:pPr>
      <w:r>
        <w:rPr>
          <w:b w:val="0"/>
          <w:i w:val="0"/>
        </w:rPr>
        <w:t>Parent and guardian understanding and family strategies</w:t>
      </w:r>
    </w:p>
    <w:p>
      <w:pPr/>
      <w:r>
        <w:rPr>
          <w:b w:val="0"/>
          <w:i w:val="0"/>
        </w:rPr>
        <w:t>Coaching is not therapy, clinical diagnosis, medical treatment or crisis support. It may complement healthcare or other support, but it does not replace them.</w:t>
      </w:r>
    </w:p>
    <w:p>
      <w:pPr>
        <w:pStyle w:val="Heading2"/>
      </w:pPr>
      <w:r>
        <w:rPr>
          <w:b w:val="0"/>
          <w:i w:val="0"/>
        </w:rPr>
        <w:t>3. Session delivery and accessibility</w:t>
      </w:r>
    </w:p>
    <w:p>
      <w:pPr>
        <w:numPr>
          <w:ilvl w:val="0"/>
          <w:numId w:val="12"/>
        </w:numPr>
      </w:pPr>
      <w:r>
        <w:rPr>
          <w:b w:val="0"/>
          <w:i w:val="0"/>
        </w:rPr>
        <w:t>Sessions are delivered online using an approved platform such as Lessonspace or Google Meet.</w:t>
      </w:r>
    </w:p>
    <w:p>
      <w:pPr>
        <w:numPr>
          <w:ilvl w:val="0"/>
          <w:numId w:val="12"/>
        </w:numPr>
      </w:pPr>
      <w:r>
        <w:rPr>
          <w:b w:val="0"/>
          <w:i w:val="0"/>
        </w:rPr>
        <w:t>Sessions are normally 60 minutes unless another arrangement is agreed.</w:t>
      </w:r>
    </w:p>
    <w:p>
      <w:pPr>
        <w:numPr>
          <w:ilvl w:val="0"/>
          <w:numId w:val="12"/>
        </w:numPr>
      </w:pPr>
      <w:r>
        <w:rPr>
          <w:b w:val="0"/>
          <w:i w:val="0"/>
        </w:rPr>
        <w:t>A verbal-first model is used to reduce unnecessary admin and overwhelm.</w:t>
      </w:r>
    </w:p>
    <w:p>
      <w:pPr>
        <w:numPr>
          <w:ilvl w:val="0"/>
          <w:numId w:val="12"/>
        </w:numPr>
      </w:pPr>
      <w:r>
        <w:rPr>
          <w:b w:val="0"/>
          <w:i w:val="0"/>
        </w:rPr>
        <w:t>Internal notes are kept securely. Detailed written summaries or reports are supplied only where agreed and may carry an additional fee.</w:t>
      </w:r>
    </w:p>
    <w:p>
      <w:pPr>
        <w:numPr>
          <w:ilvl w:val="0"/>
          <w:numId w:val="12"/>
        </w:numPr>
      </w:pPr>
      <w:r>
        <w:rPr>
          <w:b w:val="0"/>
          <w:i w:val="0"/>
        </w:rPr>
        <w:t>Adjustments such as camera-off arrangements, breaks or shorter sessions can be discussed where appropriate.</w:t>
      </w:r>
    </w:p>
    <w:p>
      <w:pPr/>
      <w:r>
        <w:rPr>
          <w:b w:val="0"/>
          <w:i w:val="0"/>
        </w:rPr>
        <w:t xml:space="preserve">Technical expectations are explained in the </w:t>
      </w:r>
      <w:hyperlink r:id="rId12">
        <w:r>
          <w:rPr>
            <w:rFonts w:ascii="Calibri" w:hAnsi="Calibri"/>
            <w:color w:val="005F8D"/>
            <w:u w:val="single"/>
          </w:rPr>
          <w:t>Technical Requirements and Troubleshooting Policy</w:t>
        </w:r>
      </w:hyperlink>
      <w:r>
        <w:rPr>
          <w:b w:val="0"/>
          <w:i w:val="0"/>
        </w:rPr>
        <w:t>.</w:t>
      </w:r>
    </w:p>
    <w:p>
      <w:pPr>
        <w:pStyle w:val="Heading3"/>
      </w:pPr>
      <w:r>
        <w:t xml:space="preserve">Optional ADHD Coaching Intake</w:t>
      </w:r>
    </w:p>
    <w:p>
      <w:pPr/>
      <w:r>
        <w:t xml:space="preserve">The MentorSphere may offer an optional ADHD Coaching Intake before or during the early stages of support. It helps Luke understand the support requested, current priorities, relevant context and possible adjustments. Completing it is not required merely to request a discovery call or introductory discussion.</w:t>
      </w:r>
    </w:p>
    <w:p>
      <w:pPr/>
      <w:r>
        <w:t xml:space="preserve">The intake is not a diagnostic or clinical assessment. Adults, parents/carers seeking support for a young person, parents/carers seeking support for themselves, and those seeking combined support see different questions. Direct young-person coaching through the intake is for ages 10 to 17.</w:t>
      </w:r>
    </w:p>
    <w:p>
      <w:pPr/>
      <w:r>
        <w:t xml:space="preserve">Optional health, disability, SEND and neurodiversity information is handled through the relevant explicit-consent route, separately from the general privacy acknowledgement. The intake can be submitted without that information or consent. The </w:t>
      </w:r>
      <w:hyperlink r:id="rId17">
        <w:r>
          <w:rPr>
            <w:rStyle w:val="Hyperlink"/>
            <w:color w:val="005F8D"/>
            <w:u w:val="single"/>
          </w:rPr>
          <w:t xml:space="preserve">Privacy Policy V1.6</w:t>
        </w:r>
      </w:hyperlink>
      <w:r>
        <w:t xml:space="preserve"> explains the lawful bases, consent withdrawal, processing and retention arrangements.</w:t>
      </w:r>
    </w:p>
    <w:p>
      <w:pPr/>
      <w:r>
        <w:t xml:space="preserve">Where information concerns a young person, parental responsibility or documented legal authority and the appropriate learner consent route are considered alongside the young person's understanding, wishes, privacy and involvement. Age alone does not determine capacity, and adult authority does not override a capable young person's wishes. Consent for a parent's own information and consent for the young person's information remain separate.</w:t>
      </w:r>
    </w:p>
    <w:p>
      <w:pPr>
        <w:pStyle w:val="Heading2"/>
      </w:pPr>
      <w:r>
        <w:rPr>
          <w:b w:val="0"/>
          <w:i w:val="0"/>
        </w:rPr>
        <w:t>4. Young people, consent and family involvement</w:t>
      </w:r>
    </w:p>
    <w:p>
      <w:pPr/>
      <w:r>
        <w:rPr>
          <w:b w:val="0"/>
          <w:i w:val="0"/>
        </w:rPr>
        <w:t>Coaching for clients under 18 is delivered within appropriate safeguarding and consent arrangements. A parent or guardian will normally complete or approve the initial service agreement.</w:t>
      </w:r>
    </w:p>
    <w:p>
      <w:pPr/>
      <w:r>
        <w:rPr>
          <w:b w:val="0"/>
          <w:i w:val="0"/>
        </w:rPr>
        <w:t>Young people are given age-appropriate privacy. Confidentiality will be respected, subject to safeguarding responsibilities and other legal duties. The limits of confidentiality will be explained at the start.</w:t>
      </w:r>
    </w:p>
    <w:p>
      <w:pPr/>
      <w:r>
        <w:rPr>
          <w:b w:val="0"/>
          <w:i w:val="0"/>
        </w:rPr>
        <w:t>The level of parent or guardian involvement will be agreed according to the young person's age, needs, preferences and circumstances. Around one in every four sessions involving a parent or guardian is a general recommendation, not a fixed contractual requirement. Involvement may take place separately or as part of a joint session.</w:t>
      </w:r>
    </w:p>
    <w:p>
      <w:pPr/>
      <w:r>
        <w:rPr>
          <w:b w:val="0"/>
          <w:i w:val="0"/>
        </w:rPr>
        <w:t>The young person's voice, privacy and growing independence remain central. Coaching is not conditional on a parent or guardian attending a fixed proportion of sessions.</w:t>
      </w:r>
    </w:p>
    <w:p>
      <w:pPr>
        <w:pStyle w:val="Heading2"/>
      </w:pPr>
      <w:r>
        <w:rPr>
          <w:b w:val="0"/>
          <w:i w:val="0"/>
        </w:rPr>
        <w:t>5. Working alongside schools</w:t>
      </w:r>
    </w:p>
    <w:p>
      <w:pPr/>
      <w:r>
        <w:rPr>
          <w:b w:val="0"/>
          <w:i w:val="0"/>
        </w:rPr>
        <w:t>School liaison or communication may be offered where it would benefit the young person and appropriate consent has been obtained.</w:t>
      </w:r>
    </w:p>
    <w:p>
      <w:pPr/>
      <w:r>
        <w:rPr>
          <w:b w:val="0"/>
          <w:i w:val="0"/>
        </w:rPr>
        <w:t>This may include communicating with relevant staff, sharing agreed strategies or contributing to a joined-up support approach. Confidentiality will be respected, and any information to be shared will be agreed with the family and young person in advance.</w:t>
      </w:r>
    </w:p>
    <w:p>
      <w:pPr/>
      <w:r>
        <w:rPr>
          <w:b w:val="0"/>
          <w:i w:val="0"/>
        </w:rPr>
        <w:t>Additional school consultations, reports, liaison or separately commissioned work are not automatically included within the standard coaching session price. Any additional charge will be agreed before the work begins.</w:t>
      </w:r>
    </w:p>
    <w:p>
      <w:pPr>
        <w:pStyle w:val="Heading2"/>
      </w:pPr>
      <w:r>
        <w:rPr>
          <w:b w:val="0"/>
          <w:i w:val="0"/>
        </w:rPr>
        <w:t>6. Fees and self-funded packages</w:t>
      </w:r>
    </w:p>
    <w:p>
      <w:pPr/>
      <w:r>
        <w:rPr>
          <w:b w:val="0"/>
          <w:i w:val="0"/>
        </w:rPr>
        <w:t>All prices below apply from 28 July 2026 for new clients and new coaching enquiries:</w:t>
      </w:r>
    </w:p>
    <w:p>
      <w:pPr>
        <w:numPr>
          <w:ilvl w:val="0"/>
          <w:numId w:val="13"/>
        </w:numPr>
      </w:pPr>
      <w:r>
        <w:rPr>
          <w:b/>
          <w:i w:val="0"/>
        </w:rPr>
        <w:t xml:space="preserve">Single self-funded session: </w:t>
      </w:r>
      <w:r>
        <w:rPr>
          <w:b w:val="0"/>
          <w:i w:val="0"/>
        </w:rPr>
        <w:t>£70 per 60 minutes.</w:t>
      </w:r>
    </w:p>
    <w:p>
      <w:pPr>
        <w:numPr>
          <w:ilvl w:val="0"/>
          <w:numId w:val="13"/>
        </w:numPr>
      </w:pPr>
      <w:r>
        <w:rPr>
          <w:b/>
          <w:i w:val="0"/>
        </w:rPr>
        <w:t xml:space="preserve">Six-session self-funded coaching package: </w:t>
      </w:r>
      <w:r>
        <w:rPr>
          <w:b w:val="0"/>
          <w:i w:val="0"/>
        </w:rPr>
        <w:t>£390, valid for six months.</w:t>
      </w:r>
    </w:p>
    <w:p>
      <w:pPr>
        <w:numPr>
          <w:ilvl w:val="0"/>
          <w:numId w:val="13"/>
        </w:numPr>
      </w:pPr>
      <w:r>
        <w:rPr>
          <w:b/>
          <w:i w:val="0"/>
        </w:rPr>
        <w:t xml:space="preserve">Twelve-session self-funded coaching package: </w:t>
      </w:r>
      <w:r>
        <w:rPr>
          <w:b w:val="0"/>
          <w:i w:val="0"/>
        </w:rPr>
        <w:t>£740, valid for twelve months.</w:t>
      </w:r>
    </w:p>
    <w:p>
      <w:pPr>
        <w:numPr>
          <w:ilvl w:val="0"/>
          <w:numId w:val="13"/>
        </w:numPr>
      </w:pPr>
      <w:r>
        <w:rPr>
          <w:b/>
          <w:i w:val="0"/>
        </w:rPr>
        <w:t xml:space="preserve">Access to Work-funded coaching: </w:t>
      </w:r>
      <w:r>
        <w:rPr>
          <w:b w:val="0"/>
          <w:i w:val="0"/>
        </w:rPr>
        <w:t>£110 per 60-minute session.</w:t>
      </w:r>
    </w:p>
    <w:p>
      <w:pPr>
        <w:numPr>
          <w:ilvl w:val="0"/>
          <w:numId w:val="13"/>
        </w:numPr>
      </w:pPr>
      <w:r>
        <w:rPr>
          <w:b/>
          <w:i w:val="0"/>
        </w:rPr>
        <w:t xml:space="preserve">Employer-funded coaching: </w:t>
      </w:r>
      <w:r>
        <w:rPr>
          <w:b w:val="0"/>
          <w:i w:val="0"/>
        </w:rPr>
        <w:t>£110 per 60-minute session.</w:t>
      </w:r>
    </w:p>
    <w:p>
      <w:pPr>
        <w:numPr>
          <w:ilvl w:val="0"/>
          <w:numId w:val="13"/>
        </w:numPr>
      </w:pPr>
      <w:r>
        <w:rPr>
          <w:b/>
          <w:i w:val="0"/>
        </w:rPr>
        <w:t xml:space="preserve">School involvement, workplace consultations and workshops: </w:t>
      </w:r>
      <w:r>
        <w:rPr>
          <w:b w:val="0"/>
          <w:i w:val="0"/>
        </w:rPr>
        <w:t>bespoke quotation where relevant.</w:t>
      </w:r>
    </w:p>
    <w:p>
      <w:pPr/>
      <w:r>
        <w:rPr>
          <w:b w:val="0"/>
          <w:i w:val="0"/>
        </w:rPr>
        <w:t xml:space="preserve">Self-funded package discounts do not automatically apply to Access to Work, employer-funded work, school liaison or separately commissioned services. Current public prices are also shown on the </w:t>
      </w:r>
      <w:hyperlink r:id="rId13">
        <w:r>
          <w:rPr>
            <w:rFonts w:ascii="Calibri" w:hAnsi="Calibri"/>
            <w:color w:val="005F8D"/>
            <w:u w:val="single"/>
          </w:rPr>
          <w:t>pricing page</w:t>
        </w:r>
      </w:hyperlink>
      <w:r>
        <w:rPr>
          <w:b w:val="0"/>
          <w:i w:val="0"/>
        </w:rPr>
        <w:t>.</w:t>
      </w:r>
    </w:p>
    <w:p>
      <w:pPr>
        <w:pStyle w:val="Heading2"/>
      </w:pPr>
      <w:r>
        <w:rPr>
          <w:b w:val="0"/>
          <w:i w:val="0"/>
        </w:rPr>
        <w:t>7. Existing-client transition</w:t>
      </w:r>
    </w:p>
    <w:p>
      <w:pPr>
        <w:numPr>
          <w:ilvl w:val="0"/>
          <w:numId w:val="10"/>
        </w:numPr>
      </w:pPr>
      <w:r>
        <w:t xml:space="preserve">The pricing and transition arrangements in this section took effect on 28 July 2026.</w:t>
      </w:r>
    </w:p>
    <w:p>
      <w:pPr>
        <w:numPr>
          <w:ilvl w:val="0"/>
          <w:numId w:val="14"/>
        </w:numPr>
      </w:pPr>
      <w:r>
        <w:rPr>
          <w:b w:val="0"/>
          <w:i w:val="0"/>
        </w:rPr>
        <w:t>The revised prices apply immediately to new clients and new coaching enquiries.</w:t>
      </w:r>
    </w:p>
    <w:p>
      <w:pPr>
        <w:numPr>
          <w:ilvl w:val="0"/>
          <w:numId w:val="14"/>
        </w:numPr>
      </w:pPr>
      <w:r>
        <w:rPr>
          <w:b w:val="0"/>
          <w:i w:val="0"/>
        </w:rPr>
        <w:t>Existing active coaching clients may continue at their existing rates until 31 August 2026.</w:t>
      </w:r>
    </w:p>
    <w:p>
      <w:pPr>
        <w:numPr>
          <w:ilvl w:val="0"/>
          <w:numId w:val="14"/>
        </w:numPr>
      </w:pPr>
      <w:r>
        <w:rPr>
          <w:b w:val="0"/>
          <w:i w:val="0"/>
        </w:rPr>
        <w:t>The revised prices apply to all new sessions and package renewals purchased by existing clients from 1 September 2026.</w:t>
      </w:r>
    </w:p>
    <w:p>
      <w:pPr>
        <w:numPr>
          <w:ilvl w:val="0"/>
          <w:numId w:val="14"/>
        </w:numPr>
      </w:pPr>
      <w:r>
        <w:rPr>
          <w:b w:val="0"/>
          <w:i w:val="0"/>
        </w:rPr>
        <w:t>Any coaching package purchased before 1 September 2026 remains valid at the originally agreed price and may be used within its stated validity period.</w:t>
      </w:r>
    </w:p>
    <w:p>
      <w:pPr>
        <w:numPr>
          <w:ilvl w:val="0"/>
          <w:numId w:val="14"/>
        </w:numPr>
      </w:pPr>
      <w:r>
        <w:rPr>
          <w:b w:val="0"/>
          <w:i w:val="0"/>
        </w:rPr>
        <w:t>Existing Access to Work or employer-funded arrangements continue at the agreed rate until the end of the current approved funding period, coaching block or contractual agreement.</w:t>
      </w:r>
    </w:p>
    <w:p>
      <w:pPr>
        <w:numPr>
          <w:ilvl w:val="0"/>
          <w:numId w:val="14"/>
        </w:numPr>
      </w:pPr>
      <w:r>
        <w:rPr>
          <w:b w:val="0"/>
          <w:i w:val="0"/>
        </w:rPr>
        <w:t>The revised funded rate applies to new agreements, renewals, extensions and new funding awards.</w:t>
      </w:r>
    </w:p>
    <w:p>
      <w:pPr>
        <w:pStyle w:val="Heading2"/>
      </w:pPr>
      <w:r>
        <w:rPr>
          <w:b w:val="0"/>
          <w:i w:val="0"/>
        </w:rPr>
        <w:t>8. Booking, payment and attendance</w:t>
      </w:r>
    </w:p>
    <w:p>
      <w:pPr>
        <w:numPr>
          <w:ilvl w:val="0"/>
          <w:numId w:val="15"/>
        </w:numPr>
      </w:pPr>
      <w:r>
        <w:rPr>
          <w:b w:val="0"/>
          <w:i w:val="0"/>
        </w:rPr>
        <w:t>Sessions are booked through the approved booking link or direct arrangement.</w:t>
      </w:r>
    </w:p>
    <w:p>
      <w:pPr>
        <w:numPr>
          <w:ilvl w:val="0"/>
          <w:numId w:val="15"/>
        </w:numPr>
      </w:pPr>
      <w:r>
        <w:rPr>
          <w:b w:val="0"/>
          <w:i w:val="0"/>
        </w:rPr>
        <w:t>Payments are normally required in advance unless a funded or commissioned arrangement states otherwise.</w:t>
      </w:r>
    </w:p>
    <w:p>
      <w:pPr>
        <w:numPr>
          <w:ilvl w:val="0"/>
          <w:numId w:val="15"/>
        </w:numPr>
      </w:pPr>
      <w:r>
        <w:rPr>
          <w:b w:val="0"/>
          <w:i w:val="0"/>
        </w:rPr>
        <w:t>The standard notice period for cancelling or rescheduling a coaching session is 48 hours.</w:t>
      </w:r>
    </w:p>
    <w:p>
      <w:pPr>
        <w:numPr>
          <w:ilvl w:val="0"/>
          <w:numId w:val="15"/>
        </w:numPr>
      </w:pPr>
      <w:r>
        <w:rPr>
          <w:b w:val="0"/>
          <w:i w:val="0"/>
        </w:rPr>
        <w:t>Requests received with less than 48 hours' notice will be considered reasonably and flexibly wherever possible, including where disability, neurodivergence, illness, family circumstances or unexpected events make advance notice difficult.</w:t>
      </w:r>
    </w:p>
    <w:p>
      <w:pPr>
        <w:numPr>
          <w:ilvl w:val="0"/>
          <w:numId w:val="15"/>
        </w:numPr>
      </w:pPr>
      <w:r>
        <w:rPr>
          <w:b w:val="0"/>
          <w:i w:val="0"/>
        </w:rPr>
        <w:t>The MentorSphere will endeavour to offer a suitable replacement time, but a replacement session cannot be guaranteed where suitable availability cannot reasonably be found.</w:t>
      </w:r>
    </w:p>
    <w:p>
      <w:pPr>
        <w:numPr>
          <w:ilvl w:val="0"/>
          <w:numId w:val="15"/>
        </w:numPr>
      </w:pPr>
      <w:r>
        <w:rPr>
          <w:b w:val="0"/>
          <w:i w:val="0"/>
        </w:rPr>
        <w:t>If a replacement cannot reasonably be arranged, a PAYG, prepaid or package session may remain chargeable or be treated as used. No separate standard late-cancellation fee is added on top of the session charge.</w:t>
      </w:r>
    </w:p>
    <w:p>
      <w:pPr>
        <w:numPr>
          <w:ilvl w:val="0"/>
          <w:numId w:val="15"/>
        </w:numPr>
      </w:pPr>
      <w:r>
        <w:rPr>
          <w:b w:val="0"/>
          <w:i w:val="0"/>
        </w:rPr>
        <w:t>Package expiry and any booking conditions are confirmed before payment.</w:t>
      </w:r>
    </w:p>
    <w:p>
      <w:pPr>
        <w:pStyle w:val="Heading2"/>
      </w:pPr>
      <w:r>
        <w:rPr>
          <w:b w:val="0"/>
          <w:i w:val="0"/>
        </w:rPr>
        <w:t>9. Access to Work-funded coaching</w:t>
      </w:r>
    </w:p>
    <w:p>
      <w:pPr>
        <w:numPr>
          <w:ilvl w:val="0"/>
          <w:numId w:val="16"/>
        </w:numPr>
      </w:pPr>
      <w:r>
        <w:rPr>
          <w:b w:val="0"/>
          <w:i w:val="0"/>
        </w:rPr>
        <w:t>The client remains responsible for ensuring that funding has been approved and for understanding the terms of their award.</w:t>
      </w:r>
    </w:p>
    <w:p>
      <w:pPr>
        <w:numPr>
          <w:ilvl w:val="0"/>
          <w:numId w:val="16"/>
        </w:numPr>
      </w:pPr>
      <w:r>
        <w:rPr>
          <w:b w:val="0"/>
          <w:i w:val="0"/>
        </w:rPr>
        <w:t>Access to Work funding must not be assumed until written confirmation has been received.</w:t>
      </w:r>
    </w:p>
    <w:p>
      <w:pPr>
        <w:numPr>
          <w:ilvl w:val="0"/>
          <w:numId w:val="16"/>
        </w:numPr>
      </w:pPr>
      <w:r>
        <w:rPr>
          <w:b w:val="0"/>
          <w:i w:val="0"/>
        </w:rPr>
        <w:t>The MentorSphere may provide quotations, service descriptions, session records and agreed reports to support an application, renewal, funding review or approved arrangement.</w:t>
      </w:r>
    </w:p>
    <w:p>
      <w:pPr>
        <w:numPr>
          <w:ilvl w:val="0"/>
          <w:numId w:val="16"/>
        </w:numPr>
      </w:pPr>
      <w:r>
        <w:rPr>
          <w:b w:val="0"/>
          <w:i w:val="0"/>
        </w:rPr>
        <w:t>Coaching may be paused where funding approval or payment is delayed or where an approved funding period ends.</w:t>
      </w:r>
    </w:p>
    <w:p>
      <w:pPr/>
      <w:r>
        <w:rPr>
          <w:b w:val="0"/>
          <w:i w:val="0"/>
        </w:rPr>
        <w:t>All funding decisions are made by Access to Work. The MentorSphere cannot guarantee that an application, renewal or requested level of support will be approved.</w:t>
      </w:r>
    </w:p>
    <w:p>
      <w:pPr>
        <w:pStyle w:val="Heading2"/>
      </w:pPr>
      <w:r>
        <w:rPr>
          <w:b w:val="0"/>
          <w:i w:val="0"/>
        </w:rPr>
        <w:t>10. Employer-funded coaching</w:t>
      </w:r>
    </w:p>
    <w:p>
      <w:pPr/>
      <w:r>
        <w:rPr>
          <w:b w:val="0"/>
          <w:i w:val="0"/>
        </w:rPr>
        <w:t>The coaching relationship remains confidential. Employer reporting or liaison will only occur where the client has given explicit consent and the information to be shared has been agreed in advance.</w:t>
      </w:r>
    </w:p>
    <w:p>
      <w:pPr/>
      <w:r>
        <w:rPr>
          <w:b w:val="0"/>
          <w:i w:val="0"/>
        </w:rPr>
        <w:t>Where agreed, an employer-funded arrangement may include an initial discussion about coaching goals, progress summaries, liaison with a manager or HR representative, workplace strategy discussions or a final review. Any service scope and reporting expectations will be recorded before work begins.</w:t>
      </w:r>
    </w:p>
    <w:p>
      <w:pPr/>
      <w:r>
        <w:rPr>
          <w:b w:val="0"/>
          <w:i w:val="0"/>
        </w:rPr>
        <w:t>Confidentiality remains subject to safeguarding and legal responsibilities. Employer-funded coaching does not give an employer automatic access to session content or private coaching records.</w:t>
      </w:r>
    </w:p>
    <w:p>
      <w:pPr>
        <w:pStyle w:val="Heading2"/>
      </w:pPr>
      <w:r>
        <w:rPr>
          <w:b w:val="0"/>
          <w:i w:val="0"/>
        </w:rPr>
        <w:t>11. Confidentiality, records and safeguarding</w:t>
      </w:r>
    </w:p>
    <w:p>
      <w:pPr/>
      <w:r>
        <w:rPr>
          <w:b w:val="0"/>
          <w:i w:val="0"/>
        </w:rPr>
        <w:t>Coaching is private, but not absolutely confidential. Information may be shared where there is a serious risk of harm, a safeguarding concern, a legal requirement or a need agreed by the client.</w:t>
      </w:r>
    </w:p>
    <w:p>
      <w:pPr/>
      <w:r>
        <w:rPr>
          <w:b w:val="0"/>
          <w:i w:val="0"/>
        </w:rPr>
        <w:t>Internal notes and relevant service records are kept securely. Detailed written summaries or reports are supplied only where agreed and may carry an additional fee.</w:t>
      </w:r>
    </w:p>
    <w:p>
      <w:pPr/>
      <w:r>
        <w:rPr>
          <w:b w:val="0"/>
          <w:i w:val="0"/>
        </w:rPr>
        <w:t xml:space="preserve">The </w:t>
      </w:r>
      <w:hyperlink r:id="rId14">
        <w:r>
          <w:rPr>
            <w:rFonts w:ascii="Calibri" w:hAnsi="Calibri"/>
            <w:color w:val="005F8D"/>
            <w:u w:val="single"/>
          </w:rPr>
          <w:t xml:space="preserve">Safeguarding Policy </w:t>
        </w:r>
      </w:hyperlink>
      <w:r>
        <w:rPr>
          <w:b w:val="0"/>
          <w:i w:val="0"/>
        </w:rPr>
        <w:t>applies throughout. Luke Turner is the Designated Safeguarding Lead.</w:t>
      </w:r>
    </w:p>
    <w:p>
      <w:pPr>
        <w:pStyle w:val="Heading2"/>
      </w:pPr>
      <w:r>
        <w:rPr>
          <w:b w:val="0"/>
          <w:i w:val="0"/>
        </w:rPr>
        <w:t>12. Inclusion, neurodiversity and accessibility</w:t>
      </w:r>
    </w:p>
    <w:p>
      <w:pPr/>
      <w:r>
        <w:rPr>
          <w:b w:val="0"/>
          <w:i w:val="0"/>
        </w:rPr>
        <w:t>The service is LGBTQIA+ affirmative, trauma-aware and recovery-informed. It aims to avoid shame-based, compliance-led or one-size-fits-all approaches.</w:t>
      </w:r>
    </w:p>
    <w:p>
      <w:pPr/>
      <w:r>
        <w:rPr>
          <w:b w:val="0"/>
          <w:i w:val="0"/>
        </w:rPr>
        <w:t>Reasonable adjustments and communication preferences can be discussed before or during coaching. These may include breaks, camera arrangements, reduced written admin or adjustments to the session structure where appropriate.</w:t>
      </w:r>
    </w:p>
    <w:p>
      <w:pPr/>
      <w:r>
        <w:rPr>
          <w:b w:val="0"/>
          <w:i w:val="0"/>
        </w:rPr>
        <w:t xml:space="preserve">The </w:t>
      </w:r>
      <w:hyperlink r:id="rId15">
        <w:r>
          <w:rPr>
            <w:rFonts w:ascii="Calibri" w:hAnsi="Calibri"/>
            <w:color w:val="005F8D"/>
            <w:u w:val="single"/>
          </w:rPr>
          <w:t xml:space="preserve">SEND, SEMH and Neurodiversity Policy </w:t>
        </w:r>
      </w:hyperlink>
      <w:r>
        <w:rPr>
          <w:b w:val="0"/>
          <w:i w:val="0"/>
        </w:rPr>
        <w:t xml:space="preserve">and </w:t>
      </w:r>
      <w:hyperlink r:id="rId16">
        <w:r>
          <w:rPr>
            <w:rFonts w:ascii="Calibri" w:hAnsi="Calibri"/>
            <w:color w:val="005F8D"/>
            <w:u w:val="single"/>
          </w:rPr>
          <w:t xml:space="preserve">Accessibility Statement </w:t>
        </w:r>
      </w:hyperlink>
      <w:r>
        <w:rPr>
          <w:b w:val="0"/>
          <w:i w:val="0"/>
        </w:rPr>
        <w:t>provide further information.</w:t>
      </w:r>
    </w:p>
    <w:p>
      <w:pPr>
        <w:pStyle w:val="Heading2"/>
      </w:pPr>
      <w:r>
        <w:rPr>
          <w:b w:val="0"/>
          <w:i w:val="0"/>
        </w:rPr>
        <w:t>13. Feedback and complaints</w:t>
      </w:r>
    </w:p>
    <w:p>
      <w:pPr/>
      <w:r>
        <w:rPr>
          <w:b w:val="0"/>
          <w:i w:val="0"/>
        </w:rPr>
        <w:t>Informal feedback is welcome. Concerns should be raised with Luke Turner as soon as possible so that they can be understood and addressed. Safeguarding concerns are managed under the Safeguarding Policy.</w:t>
      </w:r>
    </w:p>
    <w:p>
      <w:pPr>
        <w:pStyle w:val="Heading2"/>
      </w:pPr>
      <w:r>
        <w:rPr>
          <w:b w:val="0"/>
          <w:i w:val="0"/>
        </w:rPr>
        <w:t>14. Policy review</w:t>
      </w:r>
    </w:p>
    <w:p>
      <w:pPr/>
      <w:r>
        <w:rPr>
          <w:b w:val="0"/>
          <w:i w:val="0"/>
        </w:rPr>
        <w:t>This policy is due for review by 27 July 2027 and may be reviewed earlier where service delivery, legislation, safeguarding expectations or professional practice change.</w:t>
      </w:r>
    </w:p>
    <w:p>
      <w:pPr>
        <w:pStyle w:val="Heading3"/>
      </w:pPr>
      <w:r>
        <w:rPr>
          <w:b w:val="0"/>
          <w:i w:val="0"/>
        </w:rPr>
        <w:t>Change log</w:t>
      </w:r>
    </w:p>
    <w:p>
      <w:pPr/>
      <w:r>
        <w:rPr>
          <w:b/>
        </w:rPr>
        <w:t xml:space="preserve">V1.4, 25 September 2026:</w:t>
      </w:r>
      <w:r>
        <w:t xml:space="preserve"> added the optional ADHD Coaching Intake, its purpose, consent and young-person involvement arrangements, with a cross-reference to Privacy Policy V1.6. Existing fees, cancellation terms, funded arrangements and service boundaries are unchanged.</w:t>
      </w:r>
    </w:p>
    <w:p>
      <w:pPr/>
      <w:r>
        <w:rPr>
          <w:b/>
          <w:i w:val="0"/>
        </w:rPr>
        <w:t xml:space="preserve">V1.3, 28 July 2026: </w:t>
      </w:r>
      <w:r>
        <w:rPr>
          <w:b w:val="0"/>
          <w:i w:val="0"/>
        </w:rPr>
        <w:t>cancellation and rescheduling terms aligned with the organisation-wide 48-hour notice policy and clarified to support flexible, neurodiversity-affirming application.</w:t>
      </w:r>
    </w:p>
    <w:p>
      <w:pPr>
        <w:pStyle w:val="PolicyCallout"/>
        <w:shd w:fill="EAF4F8"/>
        <w:pBdr>
          <w:left w:val="single" w:sz="18" w:space="8" w:color="005F8D"/>
        </w:pBdr>
      </w:pPr>
      <w:r>
        <w:rPr>
          <w:b/>
          <w:i w:val="0"/>
        </w:rPr>
        <w:t xml:space="preserve">Policy owner: </w:t>
      </w:r>
      <w:r>
        <w:rPr>
          <w:b w:val="0"/>
          <w:i w:val="0"/>
        </w:rPr>
        <w:t>Luke Turner, Founder of The MentorSphere.</w:t>
      </w:r>
    </w:p>
    <w:p>
      <w:pPr>
        <w:pStyle w:val="PolicyCallout"/>
        <w:shd w:fill="EAF4F8"/>
        <w:pBdr>
          <w:left w:val="single" w:sz="18" w:space="8" w:color="005F8D"/>
        </w:pBdr>
      </w:pPr>
      <w:r>
        <w:rPr>
          <w:b w:val="0"/>
          <w:i w:val="0"/>
        </w:rPr>
        <w:t>Engaging with The ADHD Mentor confirms agreement to the coaching scope, boundaries, fees and booking terms provided for the specific service.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left"/>
        <w:tab w:pos="9360" w:val="left"/>
      </w:tabs>
      <w:spacing w:before="0" w:after="0"/>
    </w:pPr>
    <w:r>
      <w:rPr>
        <w:rFonts w:ascii="Calibri" w:hAnsi="Calibri"/>
        <w:color w:val="5E6B72"/>
        <w:sz w:val="16"/>
      </w:rPr>
      <w:t>ADHD Coaching Policy</w:t>
    </w:r>
    <w:r>
      <w:tab/>
    </w:r>
    <w:r>
      <w:rPr>
        <w:rFonts w:ascii="Calibri" w:hAnsi="Calibri"/>
        <w:color w:val="5E6B72"/>
        <w:sz w:val="16"/>
      </w:rPr>
      <w:t>Version 1.4</w:t>
    </w:r>
    <w:r>
      <w:tab/>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E6B72"/>
        <w:sz w:val="17"/>
      </w:rPr>
      <w:t>THE MENTORSPHERE  |  CURRENT POLICY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0">
    <w:abstractNumId w:val="9"/>
  </w:num>
  <w:abstractNum w:abstractNumId="10">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1">
    <w:abstractNumId w:val="10"/>
  </w:num>
  <w:abstractNum w:abstractNumId="11">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2">
    <w:abstractNumId w:val="11"/>
  </w:num>
  <w:abstractNum w:abstractNumId="12">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3">
    <w:abstractNumId w:val="12"/>
  </w:num>
  <w:abstractNum w:abstractNumId="13">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4">
    <w:abstractNumId w:val="13"/>
  </w:num>
  <w:abstractNum w:abstractNumId="14">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5">
    <w:abstractNumId w:val="14"/>
  </w:num>
  <w:abstractNum w:abstractNumId="15">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E2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5F8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5F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5F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Title">
    <w:name w:val="Policy Title"/>
    <w:pPr>
      <w:spacing w:after="120"/>
    </w:pPr>
    <w:rPr>
      <w:rFonts w:ascii="Calibri" w:hAnsi="Calibri"/>
      <w:b/>
      <w:color w:val="005F8D"/>
      <w:sz w:val="48"/>
    </w:rPr>
  </w:style>
  <w:style w:type="paragraph" w:customStyle="1" w:styleId="PolicyMetadata">
    <w:name w:val="Policy Metadata"/>
    <w:pPr>
      <w:spacing w:after="60"/>
    </w:pPr>
    <w:rPr>
      <w:rFonts w:ascii="Calibri" w:hAnsi="Calibri"/>
      <w:color w:val="2E2E2E"/>
      <w:sz w:val="20"/>
    </w:rPr>
  </w:style>
  <w:style w:type="paragraph" w:customStyle="1" w:styleId="PolicyKicker">
    <w:name w:val="Policy Kicker"/>
    <w:pPr>
      <w:keepNext/>
      <w:spacing w:before="160" w:after="40"/>
    </w:pPr>
    <w:rPr>
      <w:rFonts w:ascii="Calibri" w:hAnsi="Calibri"/>
      <w:b/>
      <w:color w:val="005F8D"/>
      <w:sz w:val="20"/>
    </w:rPr>
  </w:style>
  <w:style w:type="paragraph" w:customStyle="1" w:styleId="PolicyCallout">
    <w:name w:val="Policy Callout"/>
    <w:basedOn w:val="Normal"/>
    <w:pPr>
      <w:spacing w:before="160" w:after="160"/>
      <w:ind w:left="259" w:right="115"/>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hementorsphere.co.uk/adhd-coaching-policy/" TargetMode="External"/><Relationship Id="rId12" Type="http://schemas.openxmlformats.org/officeDocument/2006/relationships/hyperlink" Target="https://www.thementorsphere.co.uk/technical-requirements/" TargetMode="External"/><Relationship Id="rId13" Type="http://schemas.openxmlformats.org/officeDocument/2006/relationships/hyperlink" Target="https://www.thementorsphere.co.uk/pricing/#adhd-coaching" TargetMode="External"/><Relationship Id="rId14" Type="http://schemas.openxmlformats.org/officeDocument/2006/relationships/hyperlink" Target="https://www.thementorsphere.co.uk/safeguarding-policy/" TargetMode="External"/><Relationship Id="rId15" Type="http://schemas.openxmlformats.org/officeDocument/2006/relationships/hyperlink" Target="https://www.thementorsphere.co.uk/send-neurodiversity-policy/" TargetMode="External"/><Relationship Id="rId16" Type="http://schemas.openxmlformats.org/officeDocument/2006/relationships/hyperlink" Target="https://www.thementorsphere.co.uk/accessibility/" TargetMode="External"/><Relationship Id="rId17" Type="http://schemas.openxmlformats.org/officeDocument/2006/relationships/hyperlink" Target="https://www.thementorsphere.co.uk/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Coaching Policy V1.4</dc:title>
  <dc:subject>Approved current policy</dc:subject>
  <dc:creator>The MentorSphere</dc:creator>
  <cp:keywords>The MentorSphere; education; neurodiversity; intake governance</cp:keywords>
  <dc:description>Prepared 25 September 2026 from the retained policy template and reviewed repository HTML. Starting main 5d7c99fe986fb597c2ce002f800cbbf09139cc0b. Owner approval 26 September 2026. Publication controlled through PR #62.</dc:description>
  <cp:lastModifiedBy>The MentorSphere</cp:lastModifiedBy>
  <cp:revision>1</cp:revision>
  <dcterms:created xsi:type="dcterms:W3CDTF">2013-12-23T23:15:00Z</dcterms:created>
  <dcterms:modified xsi:type="dcterms:W3CDTF">2026-09-26T12:00:00Z</dcterms:modified>
  <cp:category/>
</cp:coreProperties>
</file>