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Fundamento legal de las reglas de validación</w:t>
      </w:r>
    </w:p>
    <w:p>
      <w:pPr>
        <w:spacing w:after="200"/>
      </w:pPr>
      <w:r>
        <w:rPr>
          <w:color w:val="595959"/>
          <w:sz w:val="24"/>
          <w:szCs w:val="24"/>
        </w:rPr>
        <w:t xml:space="preserve">Alta de contrato (HU-01) — SIGECOP</w:t>
      </w:r>
    </w:p>
    <w:p>
      <w:pPr>
        <w:spacing w:after="120"/>
      </w:pPr>
      <w:r>
        <w:rPr>
          <w:b/>
          <w:bCs/>
        </w:rPr>
        <w:t xml:space="preserve">Propósito. </w:t>
      </w:r>
      <w:r>
        <w:t xml:space="preserve">Cada regla de validación que el sistema aplica al dar de alta un contrato se sustenta en la Ley de Obras Públicas y Servicios Relacionados con las Mismas (LOPSRM) o en su Reglamento (RLOPSRM). Esta matriz permite ubicar de inmediato el artículo y la fracción que respaldan cada regla, distinguiendo lo que es texto literal de la norma de lo que es decisión de diseño del equipo.</w:t>
      </w:r>
    </w:p>
    <w:p>
      <w:pPr>
        <w:spacing w:after="200"/>
      </w:pPr>
      <w:r>
        <w:rPr>
          <w:b/>
          <w:bCs/>
        </w:rPr>
        <w:t xml:space="preserve">Fuentes normativas. </w:t>
      </w:r>
      <w:r>
        <w:t xml:space="preserve">LOPSRM (última reforma publicada en el DOF el 14-11-2025) y su Reglamento (última reforma DOF 24-02-2023, aplicable en lo que no se oponga a la Ley vigente). El IVA no lo regula la LOPSRM, sino la Ley del Impuesto al Valor Agregado.</w:t>
      </w:r>
    </w:p>
    <w:p>
      <w:pPr>
        <w:spacing w:after="120"/>
      </w:pPr>
      <w:r>
        <w:rPr>
          <w:b/>
          <w:bCs/>
          <w:color w:val="1F3864"/>
          <w:sz w:val="26"/>
          <w:szCs w:val="26"/>
        </w:rPr>
        <w:t xml:space="preserve">Matriz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360"/>
        <w:gridCol w:w="1800"/>
      </w:tblGrid>
      <w:tr>
        <w:trPr>
          <w:tblHeader/>
        </w:trPr>
        <w:tc>
          <w:tcPr>
            <w:tcW w:type="dxa" w:w="4200"/>
            <w:tcBorders>
              <w:top w:val="single" w:color="BBBBBB" w:sz="1"/>
              <w:left w:val="single" w:color="BBBBBB" w:sz="1"/>
              <w:bottom w:val="single" w:color="BBBBBB" w:sz="1"/>
              <w:right w:val="single" w:color="BBBBBB" w:sz="1"/>
            </w:tcBorders>
            <w:shd w:fill="2E5496" w:val="clear"/>
            <w:tcMar>
              <w:top w:type="dxa" w:w="80"/>
              <w:left w:type="dxa" w:w="120"/>
              <w:bottom w:type="dxa" w:w="80"/>
              <w:right w:type="dxa" w:w="120"/>
            </w:tcMar>
            <w:vAlign w:val="center"/>
          </w:tcPr>
          <w:p>
            <w:r>
              <w:rPr>
                <w:b/>
                <w:bCs/>
                <w:color w:val="FFFFFF"/>
                <w:sz w:val="20"/>
                <w:szCs w:val="20"/>
              </w:rPr>
              <w:t xml:space="preserve">Regla que aplica el sistema</w:t>
            </w:r>
          </w:p>
        </w:tc>
        <w:tc>
          <w:tcPr>
            <w:tcW w:type="dxa" w:w="3360"/>
            <w:tcBorders>
              <w:top w:val="single" w:color="BBBBBB" w:sz="1"/>
              <w:left w:val="single" w:color="BBBBBB" w:sz="1"/>
              <w:bottom w:val="single" w:color="BBBBBB" w:sz="1"/>
              <w:right w:val="single" w:color="BBBBBB" w:sz="1"/>
            </w:tcBorders>
            <w:shd w:fill="2E5496" w:val="clear"/>
            <w:tcMar>
              <w:top w:type="dxa" w:w="80"/>
              <w:left w:type="dxa" w:w="120"/>
              <w:bottom w:type="dxa" w:w="80"/>
              <w:right w:type="dxa" w:w="120"/>
            </w:tcMar>
            <w:vAlign w:val="center"/>
          </w:tcPr>
          <w:p>
            <w:r>
              <w:rPr>
                <w:b/>
                <w:bCs/>
                <w:color w:val="FFFFFF"/>
                <w:sz w:val="20"/>
                <w:szCs w:val="20"/>
              </w:rPr>
              <w:t xml:space="preserve">Fundamento (ley · artículo)</w:t>
            </w:r>
          </w:p>
        </w:tc>
        <w:tc>
          <w:tcPr>
            <w:tcW w:type="dxa" w:w="1800"/>
            <w:tcBorders>
              <w:top w:val="single" w:color="BBBBBB" w:sz="1"/>
              <w:left w:val="single" w:color="BBBBBB" w:sz="1"/>
              <w:bottom w:val="single" w:color="BBBBBB" w:sz="1"/>
              <w:right w:val="single" w:color="BBBBBB" w:sz="1"/>
            </w:tcBorders>
            <w:shd w:fill="2E5496" w:val="clear"/>
            <w:tcMar>
              <w:top w:type="dxa" w:w="80"/>
              <w:left w:type="dxa" w:w="120"/>
              <w:bottom w:type="dxa" w:w="80"/>
              <w:right w:type="dxa" w:w="120"/>
            </w:tcMar>
            <w:vAlign w:val="center"/>
          </w:tcPr>
          <w:p>
            <w:r>
              <w:rPr>
                <w:b/>
                <w:bCs/>
                <w:color w:val="FFFFFF"/>
                <w:sz w:val="20"/>
                <w:szCs w:val="20"/>
              </w:rPr>
              <w:t xml:space="preserve">Tipo</w:t>
            </w:r>
          </w:p>
        </w:tc>
      </w:tr>
      <w:tr>
        <w:tc>
          <w:tcPr>
            <w:tcW w:type="dxa" w:w="9360"/>
            <w:gridSpan w:val="3"/>
            <w:tcBorders>
              <w:top w:val="single" w:color="BBBBBB" w:sz="1"/>
              <w:left w:val="single" w:color="BBBBBB" w:sz="1"/>
              <w:bottom w:val="single" w:color="BBBBBB" w:sz="1"/>
              <w:right w:val="single" w:color="BBBBBB" w:sz="1"/>
            </w:tcBorders>
            <w:shd w:fill="D6E0F0" w:val="clear"/>
            <w:tcMar>
              <w:top w:type="dxa" w:w="80"/>
              <w:left w:type="dxa" w:w="120"/>
              <w:bottom w:type="dxa" w:w="80"/>
              <w:right w:type="dxa" w:w="120"/>
            </w:tcMar>
          </w:tcPr>
          <w:p>
            <w:r>
              <w:rPr>
                <w:b/>
                <w:bCs/>
                <w:color w:val="1F3864"/>
                <w:sz w:val="20"/>
                <w:szCs w:val="20"/>
              </w:rPr>
              <w:t xml:space="preserve">1. Monto del contrato, catálogo de conceptos e IVA</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El monto del contrato corresponde al subtotal, sin incluir el IVA.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RLOPSRM, art. 2, fr. XIX</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La suma del catálogo (Σ cantidad × precio unitario) es igual al monto del contrato.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RLOPSRM, art. 45, ap. A, fr. IX; art. 2, fr. XXV; art. 65, ap. A, fr. I, inc. c)</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El subtotal, el IVA (16 %) y el total se presentan por separado; el IVA se rige por la Ley del IVA.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RLOPSRM, art. 2, fr. XIX (subtotal); Ley del IVA (tasa)</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9360"/>
            <w:gridSpan w:val="3"/>
            <w:tcBorders>
              <w:top w:val="single" w:color="BBBBBB" w:sz="1"/>
              <w:left w:val="single" w:color="BBBBBB" w:sz="1"/>
              <w:bottom w:val="single" w:color="BBBBBB" w:sz="1"/>
              <w:right w:val="single" w:color="BBBBBB" w:sz="1"/>
            </w:tcBorders>
            <w:shd w:fill="D6E0F0" w:val="clear"/>
            <w:tcMar>
              <w:top w:type="dxa" w:w="80"/>
              <w:left w:type="dxa" w:w="120"/>
              <w:bottom w:type="dxa" w:w="80"/>
              <w:right w:type="dxa" w:w="120"/>
            </w:tcMar>
          </w:tcPr>
          <w:p>
            <w:r>
              <w:rPr>
                <w:b/>
                <w:bCs/>
                <w:color w:val="1F3864"/>
                <w:sz w:val="20"/>
                <w:szCs w:val="20"/>
              </w:rPr>
              <w:t xml:space="preserve">2. Anticipo</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Anticipo de hasta 30 %: regla general, sin autorización especial.</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LOPSRM, art. 50, fr. II</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Anticipo mayor a 30 %: requiere autorización escrita del titular.</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LOPSRM, art. 50, fr. IV</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Anticipo mayor a 50 %: además se debe informar a la Secretaría.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RLOPSRM, art. 139</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Anticipo de hasta 100 %: sólo en contrato plurianual que inicia en el último trimestre y con anticipo insuficiente.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LOPSRM, art. 50, fr. V; RLOPSRM, art. 139</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Base de cálculo del anticipo (porcentaje sobre el monto / asignación del ejercicio).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RLOPSRM, art. 138</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9360"/>
            <w:gridSpan w:val="3"/>
            <w:tcBorders>
              <w:top w:val="single" w:color="BBBBBB" w:sz="1"/>
              <w:left w:val="single" w:color="BBBBBB" w:sz="1"/>
              <w:bottom w:val="single" w:color="BBBBBB" w:sz="1"/>
              <w:right w:val="single" w:color="BBBBBB" w:sz="1"/>
            </w:tcBorders>
            <w:shd w:fill="D6E0F0" w:val="clear"/>
            <w:tcMar>
              <w:top w:type="dxa" w:w="80"/>
              <w:left w:type="dxa" w:w="120"/>
              <w:bottom w:type="dxa" w:w="80"/>
              <w:right w:type="dxa" w:w="120"/>
            </w:tcMar>
          </w:tcPr>
          <w:p>
            <w:r>
              <w:rPr>
                <w:b/>
                <w:bCs/>
                <w:color w:val="1F3864"/>
                <w:sz w:val="20"/>
                <w:szCs w:val="20"/>
              </w:rPr>
              <w:t xml:space="preserve">3. Plazo y fechas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El plazo se expresa en días naturales; la fecha de inicio y el plazo son los datos base.</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LOPSRM, art. 31, fr. V; RLOPSRM, art. 100</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La fecha de término se deriva de la fecha de inicio más el plazo (coherencia en el alta).</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LOPSRM, art. 31, fr. V; RLOPSRM, art. 100</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Convención de conteo: la fecha de inicio cuenta como día 1 (término = inicio + plazo − 1).</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Sin fundamento literal en la norma</w:t>
            </w:r>
          </w:p>
        </w:tc>
        <w:tc>
          <w:tcPr>
            <w:tcW w:type="dxa" w:w="1800"/>
            <w:tcBorders>
              <w:top w:val="single" w:color="BBBBBB" w:sz="1"/>
              <w:left w:val="single" w:color="BBBBBB" w:sz="1"/>
              <w:bottom w:val="single" w:color="BBBBBB" w:sz="1"/>
              <w:right w:val="single" w:color="BBBBBB" w:sz="1"/>
            </w:tcBorders>
            <w:shd w:fill="FFF2D6" w:val="clear"/>
            <w:tcMar>
              <w:top w:type="dxa" w:w="80"/>
              <w:left w:type="dxa" w:w="120"/>
              <w:bottom w:type="dxa" w:w="80"/>
              <w:right w:type="dxa" w:w="120"/>
            </w:tcMar>
            <w:vAlign w:val="center"/>
          </w:tcPr>
          <w:p>
            <w:pPr>
              <w:jc w:val="center"/>
            </w:pPr>
            <w:r>
              <w:rPr>
                <w:b/>
                <w:bCs/>
                <w:color w:val="9C5700"/>
                <w:sz w:val="18"/>
                <w:szCs w:val="18"/>
              </w:rPr>
              <w:t xml:space="preserve">Decisión de diseño</w:t>
            </w:r>
          </w:p>
        </w:tc>
      </w:tr>
      <w:tr>
        <w:tc>
          <w:tcPr>
            <w:tcW w:type="dxa" w:w="9360"/>
            <w:gridSpan w:val="3"/>
            <w:tcBorders>
              <w:top w:val="single" w:color="BBBBBB" w:sz="1"/>
              <w:left w:val="single" w:color="BBBBBB" w:sz="1"/>
              <w:bottom w:val="single" w:color="BBBBBB" w:sz="1"/>
              <w:right w:val="single" w:color="BBBBBB" w:sz="1"/>
            </w:tcBorders>
            <w:shd w:fill="D6E0F0" w:val="clear"/>
            <w:tcMar>
              <w:top w:type="dxa" w:w="80"/>
              <w:left w:type="dxa" w:w="120"/>
              <w:bottom w:type="dxa" w:w="80"/>
              <w:right w:type="dxa" w:w="120"/>
            </w:tcMar>
          </w:tcPr>
          <w:p>
            <w:r>
              <w:rPr>
                <w:b/>
                <w:bCs/>
                <w:color w:val="1F3864"/>
                <w:sz w:val="20"/>
                <w:szCs w:val="20"/>
              </w:rPr>
              <w:t xml:space="preserve">4. Conceptos del catálogo</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Cada concepto debe tener precio unitario y cantidad (no pueden quedar en blanco).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RLOPSRM, art. 65, ap. A, fr. I, inc. a); art. 45, ap. A, fr. IX</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Se exige cantidad mayor a 0 y precio unitario mayor a 0.</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Interpretación de LOPSRM, art. 45, fr. I</w:t>
            </w:r>
          </w:p>
        </w:tc>
        <w:tc>
          <w:tcPr>
            <w:tcW w:type="dxa" w:w="1800"/>
            <w:tcBorders>
              <w:top w:val="single" w:color="BBBBBB" w:sz="1"/>
              <w:left w:val="single" w:color="BBBBBB" w:sz="1"/>
              <w:bottom w:val="single" w:color="BBBBBB" w:sz="1"/>
              <w:right w:val="single" w:color="BBBBBB" w:sz="1"/>
            </w:tcBorders>
            <w:shd w:fill="FFF2D6" w:val="clear"/>
            <w:tcMar>
              <w:top w:type="dxa" w:w="80"/>
              <w:left w:type="dxa" w:w="120"/>
              <w:bottom w:type="dxa" w:w="80"/>
              <w:right w:type="dxa" w:w="120"/>
            </w:tcMar>
            <w:vAlign w:val="center"/>
          </w:tcPr>
          <w:p>
            <w:pPr>
              <w:jc w:val="center"/>
            </w:pPr>
            <w:r>
              <w:rPr>
                <w:b/>
                <w:bCs/>
                <w:color w:val="9C5700"/>
                <w:sz w:val="18"/>
                <w:szCs w:val="18"/>
              </w:rPr>
              <w:t xml:space="preserve">Decisión de diseño</w:t>
            </w:r>
          </w:p>
        </w:tc>
      </w:tr>
      <w:tr>
        <w:tc>
          <w:tcPr>
            <w:tcW w:type="dxa" w:w="9360"/>
            <w:gridSpan w:val="3"/>
            <w:tcBorders>
              <w:top w:val="single" w:color="BBBBBB" w:sz="1"/>
              <w:left w:val="single" w:color="BBBBBB" w:sz="1"/>
              <w:bottom w:val="single" w:color="BBBBBB" w:sz="1"/>
              <w:right w:val="single" w:color="BBBBBB" w:sz="1"/>
            </w:tcBorders>
            <w:shd w:fill="D6E0F0" w:val="clear"/>
            <w:tcMar>
              <w:top w:type="dxa" w:w="80"/>
              <w:left w:type="dxa" w:w="120"/>
              <w:bottom w:type="dxa" w:w="80"/>
              <w:right w:type="dxa" w:w="120"/>
            </w:tcMar>
          </w:tcPr>
          <w:p>
            <w:r>
              <w:rPr>
                <w:b/>
                <w:bCs/>
                <w:color w:val="1F3864"/>
                <w:sz w:val="20"/>
                <w:szCs w:val="20"/>
              </w:rPr>
              <w:t xml:space="preserve">5. Programa de obra (actividades)</w:t>
            </w:r>
          </w:p>
        </w:tc>
      </w:tr>
      <w:tr>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20"/>
                <w:szCs w:val="20"/>
              </w:rPr>
              <w:t xml:space="preserve">El programa de ejecución corresponde al plazo; cada actividad cae dentro de [fecha de inicio, fecha de término] del contrato.</w:t>
            </w:r>
          </w:p>
        </w:tc>
        <w:tc>
          <w:tcPr>
            <w:tcW w:type="dxa" w:w="33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sz w:val="19"/>
                <w:szCs w:val="19"/>
              </w:rPr>
              <w:t xml:space="preserve">RLOPSRM, art. 64, ap. A, fr. I, inc. a); art. 45, ap. A, fr. X; LOPSRM, art. 52</w:t>
            </w:r>
          </w:p>
        </w:tc>
        <w:tc>
          <w:tcPr>
            <w:tcW w:type="dxa" w:w="1800"/>
            <w:tcBorders>
              <w:top w:val="single" w:color="BBBBBB" w:sz="1"/>
              <w:left w:val="single" w:color="BBBBBB" w:sz="1"/>
              <w:bottom w:val="single" w:color="BBBBBB" w:sz="1"/>
              <w:right w:val="single" w:color="BBBBBB" w:sz="1"/>
            </w:tcBorders>
            <w:shd w:fill="EAF1FB" w:val="clear"/>
            <w:tcMar>
              <w:top w:type="dxa" w:w="80"/>
              <w:left w:type="dxa" w:w="120"/>
              <w:bottom w:type="dxa" w:w="80"/>
              <w:right w:type="dxa" w:w="120"/>
            </w:tcMar>
            <w:vAlign w:val="center"/>
          </w:tcPr>
          <w:p>
            <w:pPr>
              <w:jc w:val="center"/>
            </w:pPr>
            <w:r>
              <w:rPr>
                <w:b/>
                <w:bCs/>
                <w:color w:val="2E5496"/>
                <w:sz w:val="18"/>
                <w:szCs w:val="18"/>
              </w:rPr>
              <w:t xml:space="preserve">Texto literal</w:t>
            </w:r>
          </w:p>
        </w:tc>
      </w:tr>
    </w:tbl>
    <w:p>
      <w:pPr>
        <w:spacing w:after="200" w:before="160"/>
      </w:pPr>
      <w:r>
        <w:rPr>
          <w:b/>
          <w:bCs/>
        </w:rPr>
        <w:t xml:space="preserve">Leyenda. </w:t>
      </w:r>
      <w:r>
        <w:t xml:space="preserve">«Texto literal» indica que la regla está expresada de forma directa en el artículo citado. «Decisión de diseño» indica un criterio adoptado por el equipo que el artículo citado informa, pero no establece de manera literal.</w:t>
      </w:r>
    </w:p>
    <w:p>
      <w:pPr>
        <w:pStyle w:val="Heading1"/>
      </w:pPr>
      <w:r>
        <w:t xml:space="preserve">Detalle por regla</w:t>
      </w:r>
    </w:p>
    <w:p>
      <w:pPr>
        <w:spacing w:after="60" w:before="200"/>
      </w:pPr>
      <w:r>
        <w:rPr>
          <w:b/>
          <w:bCs/>
          <w:sz w:val="22"/>
          <w:szCs w:val="22"/>
        </w:rPr>
        <w:t xml:space="preserve">1. Monto, catálogo e IVA</w:t>
      </w:r>
    </w:p>
    <w:p>
      <w:pPr>
        <w:spacing w:after="60"/>
      </w:pPr>
      <w:r>
        <w:rPr>
          <w:sz w:val="22"/>
          <w:szCs w:val="22"/>
        </w:rPr>
        <w:t xml:space="preserve">En un contrato ya adjudicado, el catálogo de conceptos forma el presupuesto que sirve para formalizar el contrato (RLOPSRM, art. 45, ap. A, fr. IX), entendido como el desglose de conceptos por cantidades y precios unitarios (art. 2, fr. XXV). Por ello la suma del catálogo es igual al monto del contrato, no «solo no excederlo»: el límite de «no rebasar el presupuesto» pertenece a la etapa de evaluación de propuestas (art. 65, fr. II), no al alta.</w:t>
      </w:r>
    </w:p>
    <w:p>
      <w:pPr>
        <w:spacing w:after="60"/>
      </w:pPr>
      <w:r>
        <w:rPr>
          <w:sz w:val="22"/>
          <w:szCs w:val="22"/>
        </w:rPr>
        <w:t xml:space="preserve">El Reglamento define el monto sin considerar el IVA (art. 2, fr. XIX). El sistema toma el monto como subtotal sin IVA, valida que la suma del catálogo coincida con él (con tolerancia por redondeo) y muestra el IVA al 16 % y el total como valores derivados.</w:t>
      </w:r>
    </w:p>
    <w:p>
      <w:pPr>
        <w:spacing w:after="60" w:before="200"/>
      </w:pPr>
      <w:r>
        <w:rPr>
          <w:b/>
          <w:bCs/>
          <w:sz w:val="22"/>
          <w:szCs w:val="22"/>
        </w:rPr>
        <w:t xml:space="preserve">2. Anticipo</w:t>
      </w:r>
    </w:p>
    <w:p>
      <w:pPr>
        <w:spacing w:after="60"/>
      </w:pPr>
      <w:r>
        <w:rPr>
          <w:sz w:val="22"/>
          <w:szCs w:val="22"/>
        </w:rPr>
        <w:t xml:space="preserve">No existe un tope único: los umbrales son escalonados. Hasta 30 % es la regla general (LOPSRM, art. 50, fr. II); por encima de 30 % se requiere autorización escrita del titular (art. 50, fr. IV); por encima de 50 % se debe además informar a la Secretaría (RLOPSRM, art. 139); y sólo en el supuesto de contrato plurianual que inicia en el último trimestre con anticipo insuficiente puede llegar hasta 100 % (LOPSRM, art. 50, fr. V).</w:t>
      </w:r>
    </w:p>
    <w:p>
      <w:pPr>
        <w:spacing w:after="60"/>
      </w:pPr>
      <w:r>
        <w:rPr>
          <w:sz w:val="22"/>
          <w:szCs w:val="22"/>
        </w:rPr>
        <w:t xml:space="preserve">El sistema permite capturar de 0 a 100 %, pero muestra los avisos correspondientes al superar 30 % y 50 % para alertar sobre los requisitos aplicables.</w:t>
      </w:r>
    </w:p>
    <w:p>
      <w:pPr>
        <w:spacing w:after="60" w:before="200"/>
      </w:pPr>
      <w:r>
        <w:rPr>
          <w:b/>
          <w:bCs/>
          <w:sz w:val="22"/>
          <w:szCs w:val="22"/>
        </w:rPr>
        <w:t xml:space="preserve">3. Plazo y fechas</w:t>
      </w:r>
    </w:p>
    <w:p>
      <w:pPr>
        <w:spacing w:after="60"/>
      </w:pPr>
      <w:r>
        <w:rPr>
          <w:sz w:val="22"/>
          <w:szCs w:val="22"/>
        </w:rPr>
        <w:t xml:space="preserve">La convocatoria fija el plazo en días naturales indicando la fecha de inicio (LOPSRM, art. 31, fr. V); los periodos se expresan en días naturales (RLOPSRM, art. 100). Por eso el sistema toma el plazo y la fecha de inicio como datos base y deriva la fecha de término. Las divergencias entre la fecha de término real y la calculada (diferimientos, suspensiones, convenios de ampliación) corresponden a la etapa de ejecución, no al alta.</w:t>
      </w:r>
    </w:p>
    <w:p>
      <w:pPr>
        <w:spacing w:after="60"/>
      </w:pPr>
      <w:r>
        <w:rPr>
          <w:sz w:val="22"/>
          <w:szCs w:val="22"/>
        </w:rPr>
        <w:t xml:space="preserve">La convención de conteo de días (si la fecha de inicio cuenta como día 1) no está fijada por la norma; el equipo la adopta y documenta como decisión de diseño.</w:t>
      </w:r>
    </w:p>
    <w:p>
      <w:pPr>
        <w:spacing w:after="60" w:before="200"/>
      </w:pPr>
      <w:r>
        <w:rPr>
          <w:b/>
          <w:bCs/>
          <w:sz w:val="22"/>
          <w:szCs w:val="22"/>
        </w:rPr>
        <w:t xml:space="preserve">4. Conceptos del catálogo</w:t>
      </w:r>
    </w:p>
    <w:p>
      <w:pPr>
        <w:spacing w:after="60"/>
      </w:pPr>
      <w:r>
        <w:rPr>
          <w:sz w:val="22"/>
          <w:szCs w:val="22"/>
        </w:rPr>
        <w:t xml:space="preserve">El Reglamento exige que en todos y cada uno de los conceptos se establezca el precio unitario (art. 65, ap. A, fr. I, inc. a) y que el catálogo contenga cantidades y precios por concepto (art. 45, ap. A, fr. IX). De ahí que un precio o una cantidad en blanco sea inválido. La exigencia de que sean mayores a 0 es una decisión de diseño congruente con que el pago es por unidad de concepto de trabajo terminado (LOPSRM, art. 45, fr. I): un concepto sin alcance o sin remuneración no es un concepto de trabajo.</w:t>
      </w:r>
    </w:p>
    <w:p>
      <w:pPr>
        <w:spacing w:after="60" w:before="200"/>
      </w:pPr>
      <w:r>
        <w:rPr>
          <w:b/>
          <w:bCs/>
          <w:sz w:val="22"/>
          <w:szCs w:val="22"/>
        </w:rPr>
        <w:t xml:space="preserve">5. Programa de obra (actividades)</w:t>
      </w:r>
    </w:p>
    <w:p>
      <w:pPr>
        <w:spacing w:after="60"/>
      </w:pPr>
      <w:r>
        <w:rPr>
          <w:sz w:val="22"/>
          <w:szCs w:val="22"/>
        </w:rPr>
        <w:t xml:space="preserve">El programa de ejecución debe corresponder al plazo establecido por la convocante (RLOPSRM, art. 64, ap. A, fr. I, inc. a) y se calendariza conforme a los periodos determinados (art. 45, ap. A, fr. X). El programa convenido es la base con la que se mide el avance (LOPSRM, art. 52). Por ello el sistema valida que cada actividad caiga dentro del rango de fechas del contrato; una actividad fuera del plazo correspondería a un convenio de ampliación, que es una modificación posterior al alta.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2026-06-01T04:59:43.922Z</dcterms:created>
  <dcterms:modified xsi:type="dcterms:W3CDTF">2026-06-01T04:59:43.922Z</dcterms:modified>
</cp:coreProperties>
</file>

<file path=docProps/custom.xml><?xml version="1.0" encoding="utf-8"?>
<Properties xmlns="http://schemas.openxmlformats.org/officeDocument/2006/custom-properties" xmlns:vt="http://schemas.openxmlformats.org/officeDocument/2006/docPropsVTypes"/>
</file>